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24B25" w14:textId="77777777" w:rsidR="009F2353" w:rsidRDefault="009F2353" w:rsidP="009F2353">
      <w:pPr>
        <w:jc w:val="center"/>
        <w:rPr>
          <w:b/>
        </w:rPr>
      </w:pPr>
      <w:r>
        <w:rPr>
          <w:b/>
        </w:rPr>
        <w:t>UNITED STATES DISTRICT COURT</w:t>
      </w:r>
    </w:p>
    <w:p w14:paraId="7AC99391" w14:textId="77777777" w:rsidR="009F2353" w:rsidRDefault="009F2353" w:rsidP="00EA1258">
      <w:pPr>
        <w:pBdr>
          <w:bottom w:val="single" w:sz="12" w:space="0" w:color="auto"/>
        </w:pBdr>
        <w:jc w:val="center"/>
        <w:rPr>
          <w:b/>
        </w:rPr>
      </w:pPr>
      <w:r>
        <w:rPr>
          <w:b/>
        </w:rPr>
        <w:t>DISTRICT OF MOOT</w:t>
      </w:r>
    </w:p>
    <w:p w14:paraId="222F2CAB" w14:textId="77777777" w:rsidR="00EA1258" w:rsidRDefault="00EA1258" w:rsidP="00EA1258">
      <w:pPr>
        <w:pBdr>
          <w:bottom w:val="single" w:sz="12" w:space="0" w:color="auto"/>
        </w:pBdr>
        <w:jc w:val="center"/>
        <w:rPr>
          <w:b/>
        </w:rPr>
      </w:pPr>
    </w:p>
    <w:p w14:paraId="06D173DE" w14:textId="77777777" w:rsidR="009F2353" w:rsidRDefault="009F2353" w:rsidP="00EA1258">
      <w:pPr>
        <w:rPr>
          <w:b/>
        </w:rPr>
      </w:pPr>
    </w:p>
    <w:tbl>
      <w:tblPr>
        <w:tblW w:w="9787" w:type="dxa"/>
        <w:tblLayout w:type="fixed"/>
        <w:tblLook w:val="0000" w:firstRow="0" w:lastRow="0" w:firstColumn="0" w:lastColumn="0" w:noHBand="0" w:noVBand="0"/>
      </w:tblPr>
      <w:tblGrid>
        <w:gridCol w:w="4841"/>
        <w:gridCol w:w="4946"/>
      </w:tblGrid>
      <w:tr w:rsidR="009F2353" w14:paraId="60A87FF0" w14:textId="77777777" w:rsidTr="00EA1258">
        <w:trPr>
          <w:trHeight w:val="598"/>
        </w:trPr>
        <w:tc>
          <w:tcPr>
            <w:tcW w:w="4841" w:type="dxa"/>
          </w:tcPr>
          <w:p w14:paraId="2C56B3A9" w14:textId="77777777" w:rsidR="009F2353" w:rsidRDefault="009F2353" w:rsidP="00A62D97">
            <w:pPr>
              <w:pStyle w:val="Footer"/>
              <w:widowControl w:val="0"/>
              <w:tabs>
                <w:tab w:val="clear" w:pos="4320"/>
                <w:tab w:val="clear" w:pos="8640"/>
              </w:tabs>
              <w:rPr>
                <w:snapToGrid w:val="0"/>
              </w:rPr>
            </w:pPr>
            <w:r>
              <w:rPr>
                <w:snapToGrid w:val="0"/>
              </w:rPr>
              <w:t>OGS TV, I</w:t>
            </w:r>
            <w:r w:rsidR="00EA1258">
              <w:rPr>
                <w:snapToGrid w:val="0"/>
              </w:rPr>
              <w:t>nc</w:t>
            </w:r>
            <w:r>
              <w:rPr>
                <w:snapToGrid w:val="0"/>
              </w:rPr>
              <w:t xml:space="preserve">.,         </w:t>
            </w:r>
          </w:p>
          <w:p w14:paraId="15373416" w14:textId="77777777" w:rsidR="009F2353" w:rsidRDefault="009F2353" w:rsidP="00A62D97">
            <w:pPr>
              <w:pStyle w:val="Footer"/>
              <w:widowControl w:val="0"/>
              <w:tabs>
                <w:tab w:val="clear" w:pos="4320"/>
                <w:tab w:val="clear" w:pos="8640"/>
              </w:tabs>
              <w:rPr>
                <w:snapToGrid w:val="0"/>
              </w:rPr>
            </w:pPr>
            <w:r>
              <w:rPr>
                <w:snapToGrid w:val="0"/>
              </w:rPr>
              <w:t xml:space="preserve">                          </w:t>
            </w:r>
          </w:p>
          <w:p w14:paraId="01D5F3BB" w14:textId="77777777" w:rsidR="009F2353" w:rsidRDefault="009F2353" w:rsidP="00A62D97">
            <w:pPr>
              <w:pStyle w:val="Footer"/>
              <w:widowControl w:val="0"/>
              <w:tabs>
                <w:tab w:val="clear" w:pos="4320"/>
                <w:tab w:val="clear" w:pos="8640"/>
              </w:tabs>
              <w:ind w:left="1440"/>
              <w:rPr>
                <w:snapToGrid w:val="0"/>
              </w:rPr>
            </w:pPr>
            <w:r>
              <w:rPr>
                <w:snapToGrid w:val="0"/>
              </w:rPr>
              <w:t>Plaintiff</w:t>
            </w:r>
          </w:p>
        </w:tc>
        <w:tc>
          <w:tcPr>
            <w:tcW w:w="4946" w:type="dxa"/>
          </w:tcPr>
          <w:p w14:paraId="07F40835" w14:textId="77777777" w:rsidR="009F2353" w:rsidRDefault="009F2353" w:rsidP="00A62D97">
            <w:pPr>
              <w:pStyle w:val="Footer"/>
              <w:widowControl w:val="0"/>
              <w:tabs>
                <w:tab w:val="clear" w:pos="4320"/>
                <w:tab w:val="clear" w:pos="8640"/>
              </w:tabs>
              <w:rPr>
                <w:snapToGrid w:val="0"/>
              </w:rPr>
            </w:pPr>
            <w:r>
              <w:rPr>
                <w:snapToGrid w:val="0"/>
              </w:rPr>
              <w:t xml:space="preserve">               Court File No. 27-CV-12-1234</w:t>
            </w:r>
          </w:p>
          <w:p w14:paraId="37EB805F" w14:textId="77777777" w:rsidR="009F2353" w:rsidRDefault="009F2353" w:rsidP="00A62D97">
            <w:pPr>
              <w:pStyle w:val="Footer"/>
              <w:widowControl w:val="0"/>
              <w:tabs>
                <w:tab w:val="clear" w:pos="4320"/>
                <w:tab w:val="clear" w:pos="8640"/>
              </w:tabs>
              <w:rPr>
                <w:snapToGrid w:val="0"/>
              </w:rPr>
            </w:pPr>
          </w:p>
        </w:tc>
      </w:tr>
      <w:tr w:rsidR="009F2353" w14:paraId="580C002C" w14:textId="77777777" w:rsidTr="00EA1258">
        <w:trPr>
          <w:trHeight w:val="779"/>
        </w:trPr>
        <w:tc>
          <w:tcPr>
            <w:tcW w:w="4841" w:type="dxa"/>
          </w:tcPr>
          <w:p w14:paraId="3B40F706" w14:textId="77777777" w:rsidR="009F2353" w:rsidRDefault="009F2353" w:rsidP="00A62D97">
            <w:pPr>
              <w:pStyle w:val="Footer"/>
              <w:widowControl w:val="0"/>
              <w:tabs>
                <w:tab w:val="clear" w:pos="4320"/>
                <w:tab w:val="clear" w:pos="8640"/>
              </w:tabs>
              <w:rPr>
                <w:snapToGrid w:val="0"/>
              </w:rPr>
            </w:pPr>
          </w:p>
          <w:p w14:paraId="46517D0B" w14:textId="77777777" w:rsidR="009F2353" w:rsidRDefault="009F2353" w:rsidP="00A62D97">
            <w:pPr>
              <w:pStyle w:val="Footer"/>
              <w:widowControl w:val="0"/>
              <w:tabs>
                <w:tab w:val="clear" w:pos="4320"/>
                <w:tab w:val="clear" w:pos="8640"/>
              </w:tabs>
              <w:rPr>
                <w:snapToGrid w:val="0"/>
              </w:rPr>
            </w:pPr>
            <w:r>
              <w:rPr>
                <w:snapToGrid w:val="0"/>
              </w:rPr>
              <w:t>v.</w:t>
            </w:r>
          </w:p>
        </w:tc>
        <w:tc>
          <w:tcPr>
            <w:tcW w:w="4946" w:type="dxa"/>
          </w:tcPr>
          <w:p w14:paraId="3F36DCFF" w14:textId="77777777" w:rsidR="009F2353" w:rsidRDefault="009F2353" w:rsidP="00A62D97">
            <w:pPr>
              <w:pStyle w:val="Footer"/>
              <w:widowControl w:val="0"/>
              <w:tabs>
                <w:tab w:val="clear" w:pos="4320"/>
                <w:tab w:val="clear" w:pos="8640"/>
                <w:tab w:val="left" w:pos="882"/>
              </w:tabs>
              <w:rPr>
                <w:snapToGrid w:val="0"/>
              </w:rPr>
            </w:pPr>
            <w:r>
              <w:rPr>
                <w:snapToGrid w:val="0"/>
              </w:rPr>
              <w:t xml:space="preserve">               PLAINTIFF’S MEMORANDUM</w:t>
            </w:r>
          </w:p>
          <w:p w14:paraId="36C8FFD9" w14:textId="77777777" w:rsidR="009F2353" w:rsidRDefault="009F2353" w:rsidP="00A62D97">
            <w:pPr>
              <w:tabs>
                <w:tab w:val="left" w:pos="882"/>
              </w:tabs>
              <w:ind w:left="882"/>
            </w:pPr>
            <w:r>
              <w:t xml:space="preserve">IN OPPOSITION TO DEFENDANTS’ MOTION TO DISMISS  </w:t>
            </w:r>
          </w:p>
        </w:tc>
      </w:tr>
      <w:tr w:rsidR="009F2353" w14:paraId="589E971C" w14:textId="77777777" w:rsidTr="00EA1258">
        <w:trPr>
          <w:trHeight w:val="790"/>
        </w:trPr>
        <w:tc>
          <w:tcPr>
            <w:tcW w:w="4841" w:type="dxa"/>
          </w:tcPr>
          <w:p w14:paraId="5F6F77BE" w14:textId="77777777" w:rsidR="009F2353" w:rsidRDefault="009F2353" w:rsidP="00A62D97">
            <w:pPr>
              <w:pStyle w:val="Footer"/>
              <w:widowControl w:val="0"/>
              <w:tabs>
                <w:tab w:val="clear" w:pos="4320"/>
                <w:tab w:val="clear" w:pos="8640"/>
              </w:tabs>
              <w:rPr>
                <w:snapToGrid w:val="0"/>
              </w:rPr>
            </w:pPr>
            <w:r>
              <w:rPr>
                <w:snapToGrid w:val="0"/>
              </w:rPr>
              <w:t>Elizabeth Lime, and TinyTV, Inc.,</w:t>
            </w:r>
          </w:p>
          <w:p w14:paraId="5251931B" w14:textId="77777777" w:rsidR="009F2353" w:rsidRDefault="009F2353" w:rsidP="00A62D97">
            <w:pPr>
              <w:pStyle w:val="Footer"/>
              <w:widowControl w:val="0"/>
              <w:tabs>
                <w:tab w:val="clear" w:pos="4320"/>
                <w:tab w:val="clear" w:pos="8640"/>
              </w:tabs>
              <w:rPr>
                <w:snapToGrid w:val="0"/>
              </w:rPr>
            </w:pPr>
          </w:p>
          <w:p w14:paraId="1E855FE8" w14:textId="77777777" w:rsidR="009F2353" w:rsidRDefault="009F2353" w:rsidP="00A62D97">
            <w:pPr>
              <w:pStyle w:val="Footer"/>
              <w:widowControl w:val="0"/>
              <w:tabs>
                <w:tab w:val="clear" w:pos="4320"/>
                <w:tab w:val="clear" w:pos="8640"/>
              </w:tabs>
              <w:rPr>
                <w:snapToGrid w:val="0"/>
              </w:rPr>
            </w:pPr>
            <w:r>
              <w:rPr>
                <w:snapToGrid w:val="0"/>
              </w:rPr>
              <w:t xml:space="preserve">                        Defendants.</w:t>
            </w:r>
          </w:p>
        </w:tc>
        <w:tc>
          <w:tcPr>
            <w:tcW w:w="4946" w:type="dxa"/>
          </w:tcPr>
          <w:p w14:paraId="7DBD0CBD" w14:textId="77777777" w:rsidR="009F2353" w:rsidRDefault="009F2353" w:rsidP="00A62D97"/>
        </w:tc>
      </w:tr>
    </w:tbl>
    <w:p w14:paraId="5717EF1A" w14:textId="77777777" w:rsidR="009F2353" w:rsidRDefault="009F2353" w:rsidP="005E67EF">
      <w:pPr>
        <w:pBdr>
          <w:bottom w:val="single" w:sz="12" w:space="0" w:color="auto"/>
        </w:pBdr>
      </w:pPr>
    </w:p>
    <w:p w14:paraId="4C3CA1CB" w14:textId="77777777" w:rsidR="009F2353" w:rsidRDefault="009F2353" w:rsidP="009F2353"/>
    <w:p w14:paraId="4D17D16C" w14:textId="77777777" w:rsidR="009F2353" w:rsidRDefault="009F2353" w:rsidP="00E76BFA">
      <w:pPr>
        <w:pStyle w:val="Heading2"/>
      </w:pPr>
      <w:r>
        <w:t>INTRODUCTION</w:t>
      </w:r>
    </w:p>
    <w:p w14:paraId="25C9EC8F" w14:textId="77777777" w:rsidR="00E76BFA" w:rsidRPr="00E76BFA" w:rsidRDefault="00E76BFA" w:rsidP="00E76BFA"/>
    <w:p w14:paraId="4E84F8FF" w14:textId="77777777" w:rsidR="009F2353" w:rsidRDefault="00F878CB" w:rsidP="009F2353">
      <w:pPr>
        <w:pStyle w:val="BodyText"/>
        <w:spacing w:line="480" w:lineRule="auto"/>
        <w:ind w:firstLine="720"/>
      </w:pPr>
      <w:r>
        <w:t>Plaintiff OGS TV, Inc. (“OGS”) commissioned</w:t>
      </w:r>
      <w:r w:rsidR="006057B8">
        <w:t xml:space="preserve"> a</w:t>
      </w:r>
      <w:r w:rsidR="004A21A9">
        <w:t xml:space="preserve"> screenplay from</w:t>
      </w:r>
      <w:r>
        <w:t xml:space="preserve"> Defendant Elizabeth Lime (“Lime”)</w:t>
      </w:r>
      <w:r w:rsidR="00F753B8">
        <w:t xml:space="preserve">, making </w:t>
      </w:r>
      <w:r w:rsidR="00E76BFA">
        <w:t xml:space="preserve">OGS </w:t>
      </w:r>
      <w:r w:rsidR="00D56AE2">
        <w:t xml:space="preserve">the </w:t>
      </w:r>
      <w:r w:rsidR="00E76BFA">
        <w:t xml:space="preserve">author of the screenplay and owner </w:t>
      </w:r>
      <w:r w:rsidR="006057B8">
        <w:t>of its</w:t>
      </w:r>
      <w:r w:rsidR="006D3C52">
        <w:t xml:space="preserve"> copyright.  </w:t>
      </w:r>
      <w:r w:rsidR="00F753B8">
        <w:t>Lime and co-Defendant</w:t>
      </w:r>
      <w:r w:rsidR="006057B8">
        <w:t xml:space="preserve"> TinyTV, Inc.</w:t>
      </w:r>
      <w:r w:rsidR="00F753B8">
        <w:t xml:space="preserve"> </w:t>
      </w:r>
      <w:r w:rsidR="009F2353">
        <w:t xml:space="preserve">broadcast </w:t>
      </w:r>
      <w:r w:rsidR="00CD3638">
        <w:t xml:space="preserve">a screenplay copied in substantial </w:t>
      </w:r>
      <w:r w:rsidR="00F753B8">
        <w:t>part from the commissioned work</w:t>
      </w:r>
      <w:r w:rsidR="00CD3638">
        <w:t xml:space="preserve"> without OGS’s consent, in violation of the Copyright Act of 1976. </w:t>
      </w:r>
    </w:p>
    <w:p w14:paraId="5E5140AD" w14:textId="77777777" w:rsidR="009F2353" w:rsidRDefault="009F2353" w:rsidP="00163ECD">
      <w:pPr>
        <w:pStyle w:val="BodyText"/>
        <w:spacing w:line="480" w:lineRule="auto"/>
        <w:ind w:firstLine="720"/>
      </w:pPr>
      <w:r>
        <w:t xml:space="preserve">This memorandum is in response to Defendants’ motion to dismiss for failure to state a claim under </w:t>
      </w:r>
      <w:r w:rsidRPr="00144098">
        <w:rPr>
          <w:smallCaps/>
        </w:rPr>
        <w:t>Fed. R. Civ. P.</w:t>
      </w:r>
      <w:r>
        <w:t xml:space="preserve"> 12(b)(6).  </w:t>
      </w:r>
      <w:r w:rsidR="00967E6C">
        <w:t>OGS</w:t>
      </w:r>
      <w:r>
        <w:t xml:space="preserve"> requests the court deny the motion on the ground that Plaintiff has pled sufficient facts to state a claim for relief for Defendants’ violation of Plaintiff’s rights under the Copyright Act.  </w:t>
      </w:r>
      <w:r w:rsidR="00967E6C">
        <w:t>OGS</w:t>
      </w:r>
      <w:r>
        <w:t xml:space="preserve"> was and remains the rightful owner of the screenplay and therefore, as a matter of law, Defendants’ motio</w:t>
      </w:r>
      <w:r w:rsidR="00163ECD">
        <w:t xml:space="preserve">n to dismiss should be denied. </w:t>
      </w:r>
    </w:p>
    <w:p w14:paraId="6E2B1838" w14:textId="77777777" w:rsidR="009F2353" w:rsidRDefault="009F2353" w:rsidP="009F2353">
      <w:pPr>
        <w:pStyle w:val="Heading2"/>
      </w:pPr>
      <w:r>
        <w:t>FACTUAL BACKGROUND</w:t>
      </w:r>
    </w:p>
    <w:p w14:paraId="064D015A" w14:textId="77777777" w:rsidR="009F2353" w:rsidRDefault="009F2353" w:rsidP="009F2353">
      <w:pPr>
        <w:jc w:val="center"/>
      </w:pPr>
    </w:p>
    <w:p w14:paraId="5339877A" w14:textId="77777777" w:rsidR="009F2353" w:rsidRDefault="00CD3638" w:rsidP="009F2353">
      <w:pPr>
        <w:spacing w:line="480" w:lineRule="auto"/>
        <w:ind w:firstLine="720"/>
        <w:jc w:val="both"/>
      </w:pPr>
      <w:r>
        <w:t xml:space="preserve">Television network </w:t>
      </w:r>
      <w:r w:rsidR="00144098">
        <w:t>OGS TV, Inc.</w:t>
      </w:r>
      <w:r w:rsidR="009F2353">
        <w:t xml:space="preserve"> </w:t>
      </w:r>
      <w:r>
        <w:t>created, produced, and aired the</w:t>
      </w:r>
      <w:r w:rsidR="00695823">
        <w:t xml:space="preserve"> original</w:t>
      </w:r>
      <w:r>
        <w:t xml:space="preserve"> </w:t>
      </w:r>
      <w:r w:rsidR="008F2E57">
        <w:t xml:space="preserve">series </w:t>
      </w:r>
      <w:r w:rsidR="008F2E57" w:rsidRPr="008F2E57">
        <w:rPr>
          <w:i/>
        </w:rPr>
        <w:t>Lawless Love</w:t>
      </w:r>
      <w:r w:rsidR="008F2E57">
        <w:t>.</w:t>
      </w:r>
      <w:r w:rsidR="00E66ABF">
        <w:t xml:space="preserve">  </w:t>
      </w:r>
      <w:r w:rsidR="009F2353">
        <w:t>(</w:t>
      </w:r>
      <w:r>
        <w:t>Compl. at</w:t>
      </w:r>
      <w:r w:rsidR="004A21A9">
        <w:t xml:space="preserve"> ¶¶ 2, 5.) </w:t>
      </w:r>
      <w:r w:rsidR="009F2353">
        <w:t xml:space="preserve">In March 2010, Dave Nelson, executive producer of </w:t>
      </w:r>
      <w:r w:rsidR="009F2353" w:rsidRPr="00831113">
        <w:rPr>
          <w:i/>
        </w:rPr>
        <w:t>Lawless Love</w:t>
      </w:r>
      <w:r w:rsidR="00CE09AE">
        <w:rPr>
          <w:i/>
        </w:rPr>
        <w:t>,</w:t>
      </w:r>
      <w:r w:rsidR="009F2353">
        <w:t xml:space="preserve"> </w:t>
      </w:r>
      <w:r w:rsidR="00CE09AE">
        <w:t xml:space="preserve">contacted Lime </w:t>
      </w:r>
      <w:r w:rsidR="00144098">
        <w:t xml:space="preserve">to commission </w:t>
      </w:r>
      <w:r w:rsidR="009F2353">
        <w:t xml:space="preserve">a screenplay for one episode </w:t>
      </w:r>
      <w:r w:rsidR="009F2353" w:rsidRPr="00116DB8">
        <w:t>of</w:t>
      </w:r>
      <w:r w:rsidR="004A21A9">
        <w:t xml:space="preserve"> the series.</w:t>
      </w:r>
      <w:r w:rsidR="009F2353">
        <w:t xml:space="preserve"> </w:t>
      </w:r>
      <w:r w:rsidR="004A21A9">
        <w:t xml:space="preserve"> </w:t>
      </w:r>
      <w:r w:rsidR="009F2353">
        <w:t>(</w:t>
      </w:r>
      <w:r w:rsidR="009F2353" w:rsidRPr="00072265">
        <w:rPr>
          <w:i/>
        </w:rPr>
        <w:t>Id</w:t>
      </w:r>
      <w:r w:rsidR="00144098">
        <w:t xml:space="preserve">. at </w:t>
      </w:r>
      <w:r w:rsidR="00D56AE2">
        <w:t>¶</w:t>
      </w:r>
      <w:r w:rsidR="00144098">
        <w:t>¶</w:t>
      </w:r>
      <w:r w:rsidR="00695823">
        <w:t xml:space="preserve"> </w:t>
      </w:r>
      <w:r w:rsidR="00144098">
        <w:t>9–10.)</w:t>
      </w:r>
      <w:r w:rsidR="009F2353">
        <w:t xml:space="preserve">  Nelson admired Lime’s work and</w:t>
      </w:r>
      <w:r w:rsidR="00CE09AE">
        <w:t xml:space="preserve"> believed her fifteen years of experience as a successful television writer could provide a unique approach to </w:t>
      </w:r>
      <w:r w:rsidR="00CE09AE" w:rsidRPr="008A4F89">
        <w:rPr>
          <w:i/>
        </w:rPr>
        <w:t>Lawless Love’s</w:t>
      </w:r>
      <w:r w:rsidR="00CE09AE">
        <w:t xml:space="preserve"> storyline. </w:t>
      </w:r>
      <w:r w:rsidR="009F2353">
        <w:t>(</w:t>
      </w:r>
      <w:r w:rsidR="009F2353" w:rsidRPr="00072265">
        <w:rPr>
          <w:i/>
        </w:rPr>
        <w:t>Id</w:t>
      </w:r>
      <w:r w:rsidR="00695823">
        <w:t xml:space="preserve">. at ¶¶ </w:t>
      </w:r>
      <w:r w:rsidR="00CE09AE">
        <w:t>11, 14).</w:t>
      </w:r>
    </w:p>
    <w:p w14:paraId="610F2C7C" w14:textId="77777777" w:rsidR="009F2353" w:rsidRDefault="009F2353" w:rsidP="009F2353">
      <w:pPr>
        <w:spacing w:line="480" w:lineRule="auto"/>
        <w:ind w:firstLine="720"/>
        <w:jc w:val="both"/>
      </w:pPr>
      <w:r>
        <w:lastRenderedPageBreak/>
        <w:t>Nelson an</w:t>
      </w:r>
      <w:r w:rsidR="009A04F4">
        <w:t xml:space="preserve">d Lime met on March 27, 2010 </w:t>
      </w:r>
      <w:r w:rsidR="008F2E57">
        <w:t xml:space="preserve">and </w:t>
      </w:r>
      <w:r w:rsidR="005201F8">
        <w:t>discussed in detail the terms of the agreement</w:t>
      </w:r>
      <w:r w:rsidR="00CE09AE">
        <w:t xml:space="preserve">. </w:t>
      </w:r>
      <w:r>
        <w:t>(</w:t>
      </w:r>
      <w:r w:rsidRPr="00072265">
        <w:rPr>
          <w:i/>
        </w:rPr>
        <w:t>Id</w:t>
      </w:r>
      <w:r w:rsidR="008F2E57">
        <w:t>. a</w:t>
      </w:r>
      <w:r w:rsidR="00144098">
        <w:t xml:space="preserve">t </w:t>
      </w:r>
      <w:r w:rsidR="00D56AE2">
        <w:t>¶</w:t>
      </w:r>
      <w:r w:rsidR="00144098">
        <w:t>¶ 12</w:t>
      </w:r>
      <w:r w:rsidR="005A5A0A">
        <w:t>, 15</w:t>
      </w:r>
      <w:r w:rsidR="00144098">
        <w:t>–</w:t>
      </w:r>
      <w:r w:rsidR="008F2E57">
        <w:t>1</w:t>
      </w:r>
      <w:r w:rsidR="005201F8">
        <w:t>8.</w:t>
      </w:r>
      <w:r>
        <w:t>)</w:t>
      </w:r>
      <w:r w:rsidR="005A5A0A">
        <w:t xml:space="preserve"> </w:t>
      </w:r>
      <w:r>
        <w:t xml:space="preserve"> Nelson was delighted when Lime agreed to write </w:t>
      </w:r>
      <w:r w:rsidR="005A5A0A">
        <w:t>an episode,</w:t>
      </w:r>
      <w:r>
        <w:t xml:space="preserve"> and</w:t>
      </w:r>
      <w:r w:rsidR="008F2E57">
        <w:t xml:space="preserve"> </w:t>
      </w:r>
      <w:r w:rsidR="00F753B8">
        <w:t xml:space="preserve">they orally </w:t>
      </w:r>
      <w:r w:rsidR="00704673">
        <w:t>a</w:t>
      </w:r>
      <w:r w:rsidR="00D56AE2">
        <w:t xml:space="preserve">greed that </w:t>
      </w:r>
      <w:r>
        <w:t xml:space="preserve">Lime would prepare </w:t>
      </w:r>
      <w:r w:rsidR="008F2E57">
        <w:t>the</w:t>
      </w:r>
      <w:r>
        <w:t xml:space="preserve"> screenplay</w:t>
      </w:r>
      <w:r w:rsidR="008F2E57">
        <w:t xml:space="preserve"> for </w:t>
      </w:r>
      <w:r>
        <w:t>$6,000.  (</w:t>
      </w:r>
      <w:r w:rsidRPr="00072265">
        <w:rPr>
          <w:i/>
        </w:rPr>
        <w:t>Id</w:t>
      </w:r>
      <w:r>
        <w:t>. at ¶</w:t>
      </w:r>
      <w:r w:rsidR="00D56AE2">
        <w:t xml:space="preserve">¶ </w:t>
      </w:r>
      <w:r>
        <w:t xml:space="preserve">13, 15.)  Nelson </w:t>
      </w:r>
      <w:r w:rsidR="00CD3638">
        <w:t>informed</w:t>
      </w:r>
      <w:r>
        <w:t xml:space="preserve"> Lime that </w:t>
      </w:r>
      <w:r w:rsidR="00CD3638">
        <w:t>her work</w:t>
      </w:r>
      <w:r w:rsidR="00F753B8">
        <w:t xml:space="preserve"> was</w:t>
      </w:r>
      <w:r w:rsidR="00CD3638">
        <w:t xml:space="preserve"> </w:t>
      </w:r>
      <w:r w:rsidR="009A04F4">
        <w:t>for-</w:t>
      </w:r>
      <w:r>
        <w:t xml:space="preserve">hire and </w:t>
      </w:r>
      <w:r w:rsidR="00695823">
        <w:t xml:space="preserve">that </w:t>
      </w:r>
      <w:r>
        <w:t xml:space="preserve">OGS would be </w:t>
      </w:r>
      <w:r w:rsidR="00FD7ECD">
        <w:t xml:space="preserve">the </w:t>
      </w:r>
      <w:r w:rsidR="00CE09AE">
        <w:t xml:space="preserve">screenplay’s </w:t>
      </w:r>
      <w:r w:rsidR="00FD7ECD">
        <w:t xml:space="preserve">author.  </w:t>
      </w:r>
      <w:r>
        <w:t>(</w:t>
      </w:r>
      <w:r w:rsidRPr="00072265">
        <w:rPr>
          <w:i/>
        </w:rPr>
        <w:t>Id</w:t>
      </w:r>
      <w:r>
        <w:t xml:space="preserve">. at </w:t>
      </w:r>
      <w:r w:rsidR="00D56AE2">
        <w:t>¶</w:t>
      </w:r>
      <w:r>
        <w:t>¶ 16, 18.)  Nelson made sure to ask Lime whether she</w:t>
      </w:r>
      <w:r w:rsidR="009A04F4">
        <w:t xml:space="preserve"> understood and whether the work-for-</w:t>
      </w:r>
      <w:r w:rsidR="00CE09AE">
        <w:t>hire agreement was acceptable</w:t>
      </w:r>
      <w:r>
        <w:t>, and Lime responded it was an</w:t>
      </w:r>
      <w:r w:rsidR="009A04F4">
        <w:t xml:space="preserve">d </w:t>
      </w:r>
      <w:r w:rsidR="008F2E57">
        <w:t>made no objections.</w:t>
      </w:r>
      <w:r>
        <w:t xml:space="preserve"> (</w:t>
      </w:r>
      <w:r w:rsidRPr="00072265">
        <w:rPr>
          <w:i/>
        </w:rPr>
        <w:t>Id</w:t>
      </w:r>
      <w:r w:rsidR="00144098">
        <w:t xml:space="preserve">. at </w:t>
      </w:r>
      <w:r w:rsidR="00D56AE2">
        <w:t>¶</w:t>
      </w:r>
      <w:r w:rsidR="00144098">
        <w:t>¶ 16–</w:t>
      </w:r>
      <w:r>
        <w:t xml:space="preserve">17.)  Lime mentioned she </w:t>
      </w:r>
      <w:r w:rsidR="00163ECD">
        <w:t>was going to start writing immediately,</w:t>
      </w:r>
      <w:r>
        <w:t xml:space="preserve"> indicating her shared excitement about the screenplay. (</w:t>
      </w:r>
      <w:r w:rsidRPr="00072265">
        <w:rPr>
          <w:i/>
        </w:rPr>
        <w:t>Id</w:t>
      </w:r>
      <w:r>
        <w:t xml:space="preserve">. at ¶ 20.)  </w:t>
      </w:r>
    </w:p>
    <w:p w14:paraId="1E2A70BC" w14:textId="77777777" w:rsidR="009F2353" w:rsidRDefault="009F2353" w:rsidP="00B65121">
      <w:pPr>
        <w:spacing w:line="480" w:lineRule="auto"/>
        <w:ind w:firstLine="720"/>
        <w:jc w:val="both"/>
      </w:pPr>
      <w:r>
        <w:t>Lime submitted her screenplay, “Anticipatory Repu</w:t>
      </w:r>
      <w:r w:rsidR="00144098">
        <w:t>diation</w:t>
      </w:r>
      <w:r w:rsidR="006057B8">
        <w:t>,</w:t>
      </w:r>
      <w:r w:rsidR="00144098">
        <w:t xml:space="preserve">” in accordance with the </w:t>
      </w:r>
      <w:r>
        <w:t>agreement.  (</w:t>
      </w:r>
      <w:r w:rsidRPr="00163ECD">
        <w:rPr>
          <w:i/>
        </w:rPr>
        <w:t>Id</w:t>
      </w:r>
      <w:r>
        <w:t>. at ¶</w:t>
      </w:r>
      <w:r w:rsidR="00D56AE2">
        <w:t xml:space="preserve"> </w:t>
      </w:r>
      <w:r>
        <w:t>24.)  On April 2, 2010, OGS received a certificate of registration from the Register of Copyrights, an official documentation that OGS is author and owner of all rights, title, and interest in the screenplay.  (</w:t>
      </w:r>
      <w:r w:rsidRPr="00D64409">
        <w:rPr>
          <w:i/>
        </w:rPr>
        <w:t>Id</w:t>
      </w:r>
      <w:r w:rsidR="00144098">
        <w:t>. at ¶</w:t>
      </w:r>
      <w:r w:rsidR="00D56AE2">
        <w:t>¶</w:t>
      </w:r>
      <w:r w:rsidR="00144098">
        <w:t xml:space="preserve"> 22–</w:t>
      </w:r>
      <w:r>
        <w:t>23.)  Lime was paid $6,00</w:t>
      </w:r>
      <w:r w:rsidR="00FD7ECD">
        <w:t>0 for her work on April 6, 2010 and at this time, Nelson and Lime both</w:t>
      </w:r>
      <w:r>
        <w:t xml:space="preserve"> signed a “Work-Made-For-Hire-Agreeme</w:t>
      </w:r>
      <w:r w:rsidR="00FD7ECD">
        <w:t>nt” which stated</w:t>
      </w:r>
      <w:r>
        <w:t>: “I understand and agree that I have prepared the screenplay, “Anticipatory Repudiation,” as a work made for hire under the Federal Copyright Act of 1976. Pursuant to this law, OGS TV is the author of this screenplay.”  (</w:t>
      </w:r>
      <w:r w:rsidRPr="00D64409">
        <w:rPr>
          <w:i/>
        </w:rPr>
        <w:t>Id</w:t>
      </w:r>
      <w:r>
        <w:t xml:space="preserve">. at ¶ 24.)  </w:t>
      </w:r>
      <w:r w:rsidR="00FD7ECD">
        <w:t xml:space="preserve">Ultimately, </w:t>
      </w:r>
      <w:r>
        <w:t>OGS executives de</w:t>
      </w:r>
      <w:r w:rsidR="00B65121">
        <w:t>cided not to use the screenplay</w:t>
      </w:r>
      <w:r>
        <w:t>, citing its sub-optimal quality</w:t>
      </w:r>
      <w:r w:rsidR="00695823">
        <w:t>,</w:t>
      </w:r>
      <w:r>
        <w:t xml:space="preserve"> failure to fit the show’s theme</w:t>
      </w:r>
      <w:r w:rsidR="00695823">
        <w:t>, and the excessive cost</w:t>
      </w:r>
      <w:r w:rsidR="005A5A0A">
        <w:t xml:space="preserve"> required</w:t>
      </w:r>
      <w:r w:rsidR="00695823">
        <w:t xml:space="preserve"> to film some of the scenes</w:t>
      </w:r>
      <w:r>
        <w:t>.  (</w:t>
      </w:r>
      <w:r w:rsidRPr="00D64409">
        <w:rPr>
          <w:i/>
        </w:rPr>
        <w:t>Id</w:t>
      </w:r>
      <w:r>
        <w:t xml:space="preserve">. at ¶ 26.)  </w:t>
      </w:r>
    </w:p>
    <w:p w14:paraId="5D338E0C" w14:textId="77777777" w:rsidR="009F2353" w:rsidRDefault="00695823" w:rsidP="009F2353">
      <w:pPr>
        <w:spacing w:line="480" w:lineRule="auto"/>
        <w:ind w:firstLine="720"/>
        <w:jc w:val="both"/>
      </w:pPr>
      <w:r>
        <w:t>Despite the</w:t>
      </w:r>
      <w:r w:rsidR="000B17EB">
        <w:t xml:space="preserve"> parties’</w:t>
      </w:r>
      <w:r>
        <w:t xml:space="preserve"> clear agreement that OGS o</w:t>
      </w:r>
      <w:r w:rsidR="009F2353">
        <w:t xml:space="preserve">wned the exclusive rights to </w:t>
      </w:r>
      <w:r w:rsidR="000B17EB">
        <w:t xml:space="preserve">the screenplay, </w:t>
      </w:r>
      <w:r w:rsidR="00F04AFC">
        <w:t xml:space="preserve"> in August 2010</w:t>
      </w:r>
      <w:r w:rsidR="009F2353">
        <w:t xml:space="preserve"> Lime and TinyTV </w:t>
      </w:r>
      <w:r w:rsidR="000B17EB">
        <w:t xml:space="preserve">created and </w:t>
      </w:r>
      <w:r w:rsidR="009F2353">
        <w:t xml:space="preserve">produced a screenplay for </w:t>
      </w:r>
      <w:r w:rsidR="000B17EB">
        <w:t>the pilot</w:t>
      </w:r>
      <w:r w:rsidR="009F2353">
        <w:t xml:space="preserve"> episode of </w:t>
      </w:r>
      <w:r w:rsidR="009F2353" w:rsidRPr="00D03EE1">
        <w:rPr>
          <w:i/>
        </w:rPr>
        <w:t>Tin Can</w:t>
      </w:r>
      <w:r w:rsidR="005A5A0A">
        <w:t xml:space="preserve">, which </w:t>
      </w:r>
      <w:r w:rsidR="000B17EB">
        <w:t xml:space="preserve">had been copied in substantial part from  “Anticipatory Repudiation,” consisting of identical dialogue, characters, and storylines, without OGS’s knowledge or consent.  </w:t>
      </w:r>
      <w:r w:rsidR="009F2353">
        <w:t>(</w:t>
      </w:r>
      <w:r w:rsidR="009F2353" w:rsidRPr="00116DB8">
        <w:rPr>
          <w:i/>
        </w:rPr>
        <w:t>Id</w:t>
      </w:r>
      <w:r w:rsidR="009F2353" w:rsidRPr="00116DB8">
        <w:t>. at ¶¶ 27</w:t>
      </w:r>
      <w:r w:rsidR="00144098">
        <w:t>–</w:t>
      </w:r>
      <w:r w:rsidR="009F2353">
        <w:t>28</w:t>
      </w:r>
      <w:r w:rsidR="000B17EB">
        <w:t>, 31</w:t>
      </w:r>
      <w:r w:rsidR="009F2353" w:rsidRPr="00116DB8">
        <w:t>.)</w:t>
      </w:r>
      <w:r w:rsidR="00F04AFC">
        <w:t xml:space="preserve">   </w:t>
      </w:r>
      <w:r w:rsidR="009F2353">
        <w:t xml:space="preserve">TinyTV unfairly profited from the broadcast of </w:t>
      </w:r>
      <w:r w:rsidR="000B17EB">
        <w:t>this screenplay</w:t>
      </w:r>
      <w:r w:rsidR="009F2353">
        <w:t xml:space="preserve"> on </w:t>
      </w:r>
      <w:r w:rsidR="00FD7ECD">
        <w:t>its</w:t>
      </w:r>
      <w:r w:rsidR="009F2353">
        <w:t xml:space="preserve"> </w:t>
      </w:r>
      <w:r w:rsidR="009F2353">
        <w:lastRenderedPageBreak/>
        <w:t>cable television channel which is viewed throughout the United States. (</w:t>
      </w:r>
      <w:r w:rsidR="009F2353" w:rsidRPr="00D64409">
        <w:rPr>
          <w:i/>
        </w:rPr>
        <w:t>Id</w:t>
      </w:r>
      <w:r w:rsidR="009F2353">
        <w:t>. at ¶ 29.)</w:t>
      </w:r>
    </w:p>
    <w:p w14:paraId="1DDD5394" w14:textId="77777777" w:rsidR="009F2353" w:rsidRDefault="00E74E6F" w:rsidP="009F2353">
      <w:pPr>
        <w:spacing w:line="480" w:lineRule="auto"/>
        <w:ind w:firstLine="720"/>
        <w:jc w:val="both"/>
      </w:pPr>
      <w:r>
        <w:t xml:space="preserve">Defendants’ actions </w:t>
      </w:r>
      <w:r w:rsidR="004867BF">
        <w:t xml:space="preserve">violated </w:t>
      </w:r>
      <w:r w:rsidR="005A5A0A">
        <w:t>OGS’s</w:t>
      </w:r>
      <w:r w:rsidR="009F2353">
        <w:t xml:space="preserve"> rights as </w:t>
      </w:r>
      <w:r w:rsidR="001B2EFB">
        <w:t xml:space="preserve">the </w:t>
      </w:r>
      <w:r w:rsidR="009F2353">
        <w:t>owner and aut</w:t>
      </w:r>
      <w:r>
        <w:t xml:space="preserve">hor of the </w:t>
      </w:r>
      <w:r w:rsidR="001B2EFB">
        <w:t xml:space="preserve">commissioned </w:t>
      </w:r>
      <w:r>
        <w:t>screenplay</w:t>
      </w:r>
      <w:r w:rsidR="001B2EFB">
        <w:t>.</w:t>
      </w:r>
      <w:r w:rsidR="009F2353">
        <w:t xml:space="preserve">  Lime </w:t>
      </w:r>
      <w:r w:rsidR="00144098">
        <w:t>agreed to</w:t>
      </w:r>
      <w:r w:rsidR="009F2353">
        <w:t xml:space="preserve"> and understood that the screenplay was made-for-hire, and her actions </w:t>
      </w:r>
      <w:r w:rsidR="00144098">
        <w:t xml:space="preserve">blatantly </w:t>
      </w:r>
      <w:r w:rsidR="009F2353">
        <w:t>disregard</w:t>
      </w:r>
      <w:r w:rsidR="006057B8">
        <w:t>ed</w:t>
      </w:r>
      <w:r w:rsidR="00144098">
        <w:t xml:space="preserve"> </w:t>
      </w:r>
      <w:r w:rsidR="009F2353">
        <w:t xml:space="preserve">OGS’s </w:t>
      </w:r>
      <w:r w:rsidR="00E62705">
        <w:t>rights.</w:t>
      </w:r>
      <w:r w:rsidR="001B2EFB">
        <w:t xml:space="preserve">   As argued below, the </w:t>
      </w:r>
      <w:r w:rsidR="005A5A0A">
        <w:t>writing</w:t>
      </w:r>
      <w:r w:rsidR="001B2EFB">
        <w:t xml:space="preserve"> required by 1</w:t>
      </w:r>
      <w:r w:rsidR="009F2353">
        <w:t xml:space="preserve">7 U.S.C. § 101(2) </w:t>
      </w:r>
      <w:r w:rsidR="00D655E7">
        <w:t xml:space="preserve">(2006) </w:t>
      </w:r>
      <w:r w:rsidR="001B2EFB">
        <w:t xml:space="preserve">does not </w:t>
      </w:r>
      <w:r w:rsidR="005A5A0A">
        <w:t xml:space="preserve">have to be signed prior to the commissioned work’s creation to for a valid work-for-hire agreement.  </w:t>
      </w:r>
      <w:r w:rsidR="001B2EFB">
        <w:t>Therefore, OGS respectfully requests that the court deny</w:t>
      </w:r>
      <w:r w:rsidR="004867BF">
        <w:t xml:space="preserve"> Defendants’ motion to dismiss.</w:t>
      </w:r>
    </w:p>
    <w:p w14:paraId="4EDC19D9" w14:textId="77777777" w:rsidR="009F2353" w:rsidRPr="00ED634B" w:rsidRDefault="009F2353" w:rsidP="009F2353">
      <w:pPr>
        <w:jc w:val="center"/>
        <w:rPr>
          <w:b/>
        </w:rPr>
      </w:pPr>
      <w:r w:rsidRPr="00ED634B">
        <w:rPr>
          <w:b/>
        </w:rPr>
        <w:t xml:space="preserve">STANDARD OF REVIEW </w:t>
      </w:r>
    </w:p>
    <w:p w14:paraId="6CD885CD" w14:textId="77777777" w:rsidR="009F2353" w:rsidRDefault="009F2353" w:rsidP="009F2353"/>
    <w:p w14:paraId="4991FFDC" w14:textId="77777777" w:rsidR="009F2353" w:rsidRDefault="0036231E" w:rsidP="009F2353">
      <w:pPr>
        <w:spacing w:line="480" w:lineRule="auto"/>
        <w:ind w:firstLine="720"/>
      </w:pPr>
      <w:r>
        <w:t>O</w:t>
      </w:r>
      <w:r w:rsidR="009F2353">
        <w:t xml:space="preserve">n a motion to dismiss pursuant to </w:t>
      </w:r>
      <w:r w:rsidR="009F2353" w:rsidRPr="00116DB8">
        <w:rPr>
          <w:smallCaps/>
        </w:rPr>
        <w:t>Fed R. Civ. P</w:t>
      </w:r>
      <w:r w:rsidR="009103CA">
        <w:rPr>
          <w:smallCaps/>
        </w:rPr>
        <w:t>.</w:t>
      </w:r>
      <w:r w:rsidR="009F2353" w:rsidRPr="00116DB8">
        <w:rPr>
          <w:smallCaps/>
        </w:rPr>
        <w:t xml:space="preserve"> 12</w:t>
      </w:r>
      <w:r>
        <w:t>(b</w:t>
      </w:r>
      <w:r w:rsidR="00A36EB9">
        <w:t>) (</w:t>
      </w:r>
      <w:r>
        <w:t>6),</w:t>
      </w:r>
      <w:r w:rsidR="009F2353">
        <w:t xml:space="preserve"> the facts alleged in the complaint are taken as true and all doubts must be resolved in favor of the plaintiff.  </w:t>
      </w:r>
      <w:r w:rsidR="009F2353" w:rsidRPr="00701FE3">
        <w:rPr>
          <w:i/>
        </w:rPr>
        <w:t>Swope v. Cent.</w:t>
      </w:r>
      <w:r w:rsidR="009F2353">
        <w:rPr>
          <w:i/>
        </w:rPr>
        <w:t xml:space="preserve"> Sch</w:t>
      </w:r>
      <w:r w:rsidR="009F2353" w:rsidRPr="00701FE3">
        <w:rPr>
          <w:i/>
        </w:rPr>
        <w:t>. Dist.</w:t>
      </w:r>
      <w:r w:rsidR="009F2353">
        <w:rPr>
          <w:i/>
        </w:rPr>
        <w:t xml:space="preserve">, </w:t>
      </w:r>
      <w:r w:rsidR="009F2353">
        <w:t>796 F. Supp.2d 592</w:t>
      </w:r>
      <w:r w:rsidR="007152A1">
        <w:t>, 602</w:t>
      </w:r>
      <w:r w:rsidR="009F2353">
        <w:t xml:space="preserve"> (M.D. Pa. 2011).  If the facts, taken as true, state a claim for which relief may be granted, the court must deny the motion to dismiss. </w:t>
      </w:r>
    </w:p>
    <w:p w14:paraId="01117477" w14:textId="77777777" w:rsidR="00097236" w:rsidRPr="005201F8" w:rsidRDefault="00A51598" w:rsidP="00A51598">
      <w:pPr>
        <w:jc w:val="center"/>
        <w:rPr>
          <w:b/>
        </w:rPr>
      </w:pPr>
      <w:r w:rsidRPr="005201F8">
        <w:rPr>
          <w:b/>
        </w:rPr>
        <w:t xml:space="preserve">ARGUMENT </w:t>
      </w:r>
    </w:p>
    <w:p w14:paraId="15ADAF08" w14:textId="77777777" w:rsidR="00A51598" w:rsidRDefault="00A51598" w:rsidP="00A51598">
      <w:pPr>
        <w:jc w:val="center"/>
      </w:pPr>
    </w:p>
    <w:p w14:paraId="4320896B" w14:textId="77777777" w:rsidR="006D3C52" w:rsidRPr="006D3C52" w:rsidRDefault="002849A4" w:rsidP="002849A4">
      <w:pPr>
        <w:ind w:left="360"/>
        <w:jc w:val="center"/>
      </w:pPr>
      <w:r w:rsidRPr="006D3C52">
        <w:rPr>
          <w:b/>
        </w:rPr>
        <w:t>THE COURT SHOULD DENY DEFENDANTS’ MOTION BECAUSE OGS HAS STATED A CLAIM OF COPYRIGHT INFRINGEMENT UNDER THE COPYRIGHT ACT OF 1976, 17 U.S.C. § 101.</w:t>
      </w:r>
    </w:p>
    <w:p w14:paraId="5244A619" w14:textId="77777777" w:rsidR="006D3C52" w:rsidRDefault="006D3C52" w:rsidP="006D3C52">
      <w:pPr>
        <w:ind w:left="1080"/>
      </w:pPr>
    </w:p>
    <w:p w14:paraId="2EA4F589" w14:textId="77777777" w:rsidR="00A51598" w:rsidRDefault="00A51598" w:rsidP="00A51598">
      <w:pPr>
        <w:spacing w:line="480" w:lineRule="auto"/>
      </w:pPr>
      <w:r>
        <w:tab/>
        <w:t>Under 17 U.S.C. § 101</w:t>
      </w:r>
      <w:r w:rsidR="008D380F">
        <w:t>(2)</w:t>
      </w:r>
      <w:r>
        <w:t>, a work “made for hire” is:</w:t>
      </w:r>
    </w:p>
    <w:p w14:paraId="096C4431" w14:textId="77777777" w:rsidR="00A51598" w:rsidRDefault="008D380F" w:rsidP="00DA32A6">
      <w:pPr>
        <w:ind w:left="720" w:right="720"/>
        <w:jc w:val="both"/>
      </w:pPr>
      <w:r>
        <w:t>A</w:t>
      </w:r>
      <w:r w:rsidR="00A51598">
        <w:t xml:space="preserve"> work specially ordered or commissioned for use as a contribution to a collective work, as part of a motion picture or other audiovisual work, as a translation, as a supplementary work, as answer material for a test, or as an atlas, if the parties expressly agree in a written instrument signed by them that the work shall be considered a work made for hire.</w:t>
      </w:r>
      <w:r w:rsidR="00D56AE2">
        <w:t xml:space="preserve"> 17 U.S.C. § 101(2) (2006).</w:t>
      </w:r>
    </w:p>
    <w:p w14:paraId="1980C0DA" w14:textId="77777777" w:rsidR="00550316" w:rsidRDefault="00550316" w:rsidP="00550316">
      <w:pPr>
        <w:ind w:left="720"/>
        <w:jc w:val="both"/>
      </w:pPr>
    </w:p>
    <w:p w14:paraId="7B7335BF" w14:textId="77777777" w:rsidR="00A51598" w:rsidRDefault="00A51598" w:rsidP="00A51598">
      <w:pPr>
        <w:spacing w:line="480" w:lineRule="auto"/>
      </w:pPr>
      <w:r>
        <w:tab/>
        <w:t xml:space="preserve">The parties do not dispute that </w:t>
      </w:r>
      <w:r w:rsidR="00840002">
        <w:t>the</w:t>
      </w:r>
      <w:r>
        <w:t xml:space="preserve"> screenplay falls into one of the nine enumerated categories of commissionable works</w:t>
      </w:r>
      <w:r w:rsidR="00550316">
        <w:t xml:space="preserve"> </w:t>
      </w:r>
      <w:r w:rsidR="00B305C0">
        <w:t>under</w:t>
      </w:r>
      <w:r>
        <w:t xml:space="preserve"> § 101(2).  The issue is</w:t>
      </w:r>
      <w:r w:rsidR="00F753B8">
        <w:t xml:space="preserve"> whether § 101(2) requires</w:t>
      </w:r>
      <w:r w:rsidR="003B744C">
        <w:t xml:space="preserve"> the parties to sign a written work-for-hire agreement </w:t>
      </w:r>
      <w:r w:rsidR="00F753B8" w:rsidRPr="006057B8">
        <w:rPr>
          <w:i/>
        </w:rPr>
        <w:t>before</w:t>
      </w:r>
      <w:r w:rsidR="00F753B8">
        <w:t xml:space="preserve"> the creation of the work to form a valid work-for-hire relationship.  </w:t>
      </w:r>
      <w:r>
        <w:t>The</w:t>
      </w:r>
      <w:r w:rsidR="000D5B07">
        <w:t xml:space="preserve"> statute’s</w:t>
      </w:r>
      <w:r>
        <w:t xml:space="preserve"> plain language</w:t>
      </w:r>
      <w:r w:rsidR="000D5B07">
        <w:t xml:space="preserve"> </w:t>
      </w:r>
      <w:r>
        <w:t xml:space="preserve">does not </w:t>
      </w:r>
      <w:r w:rsidR="00840002">
        <w:t xml:space="preserve">include a timing requirement </w:t>
      </w:r>
      <w:r w:rsidR="003B744C">
        <w:lastRenderedPageBreak/>
        <w:t>and although t</w:t>
      </w:r>
      <w:r>
        <w:t xml:space="preserve">he legislative history </w:t>
      </w:r>
      <w:r w:rsidR="00E66ABF">
        <w:t>on</w:t>
      </w:r>
      <w:r>
        <w:t xml:space="preserve"> this </w:t>
      </w:r>
      <w:r w:rsidR="00E62705">
        <w:t>specific</w:t>
      </w:r>
      <w:r>
        <w:t xml:space="preserve"> issue is</w:t>
      </w:r>
      <w:r w:rsidR="00064D5F">
        <w:t xml:space="preserve"> limited</w:t>
      </w:r>
      <w:r>
        <w:t>, it is appa</w:t>
      </w:r>
      <w:r w:rsidR="004A21A9">
        <w:t xml:space="preserve">rent Congress intended </w:t>
      </w:r>
      <w:r w:rsidR="006057B8">
        <w:t xml:space="preserve">the revised Copyright Act </w:t>
      </w:r>
      <w:r w:rsidR="004A21A9">
        <w:t>t</w:t>
      </w:r>
      <w:r>
        <w:t xml:space="preserve">o </w:t>
      </w:r>
      <w:r w:rsidR="005201F8">
        <w:t>balance</w:t>
      </w:r>
      <w:r w:rsidR="004A21A9">
        <w:t xml:space="preserve"> the</w:t>
      </w:r>
      <w:r w:rsidR="005201F8">
        <w:t xml:space="preserve"> competing interests</w:t>
      </w:r>
      <w:r w:rsidR="00E62705">
        <w:t xml:space="preserve"> of different groups</w:t>
      </w:r>
      <w:r w:rsidR="00136733">
        <w:t xml:space="preserve">.  </w:t>
      </w:r>
      <w:r w:rsidR="00C727FD">
        <w:t xml:space="preserve">There is </w:t>
      </w:r>
      <w:r w:rsidR="000D5B07">
        <w:t xml:space="preserve">a Circuit Court </w:t>
      </w:r>
      <w:r w:rsidR="00C727FD">
        <w:t xml:space="preserve">split on this issue, </w:t>
      </w:r>
      <w:r w:rsidR="00136733">
        <w:t xml:space="preserve">but for reasons explained below, the Second Circuit’s conclusion that the </w:t>
      </w:r>
      <w:r w:rsidR="00064D5F">
        <w:t xml:space="preserve">writing may be signed after the work’s creation </w:t>
      </w:r>
      <w:r w:rsidR="00136733" w:rsidRPr="00C727FD">
        <w:t>should be</w:t>
      </w:r>
      <w:r w:rsidR="00136733">
        <w:t xml:space="preserve"> </w:t>
      </w:r>
      <w:r w:rsidR="00C727FD">
        <w:t>adopted</w:t>
      </w:r>
      <w:r w:rsidR="00136733">
        <w:t xml:space="preserve"> by</w:t>
      </w:r>
      <w:r w:rsidR="00E62705">
        <w:t xml:space="preserve"> this</w:t>
      </w:r>
      <w:r w:rsidR="00136733">
        <w:t xml:space="preserve"> court in its denial of </w:t>
      </w:r>
      <w:r w:rsidR="00136733" w:rsidRPr="005201F8">
        <w:t>Defendants’</w:t>
      </w:r>
      <w:r w:rsidR="00C727FD">
        <w:t xml:space="preserve"> motion.</w:t>
      </w:r>
    </w:p>
    <w:p w14:paraId="0DE1D654" w14:textId="77777777" w:rsidR="00136733" w:rsidRPr="002849A4" w:rsidRDefault="00136733" w:rsidP="00136733">
      <w:pPr>
        <w:numPr>
          <w:ilvl w:val="0"/>
          <w:numId w:val="1"/>
        </w:numPr>
        <w:rPr>
          <w:b/>
          <w:smallCaps/>
        </w:rPr>
      </w:pPr>
      <w:r w:rsidRPr="002849A4">
        <w:rPr>
          <w:b/>
          <w:smallCaps/>
        </w:rPr>
        <w:t xml:space="preserve">The Plain Meaning of the </w:t>
      </w:r>
      <w:r w:rsidR="00840002">
        <w:rPr>
          <w:b/>
          <w:smallCaps/>
        </w:rPr>
        <w:t>§ 101(2)</w:t>
      </w:r>
      <w:r w:rsidRPr="002849A4">
        <w:rPr>
          <w:b/>
          <w:smallCaps/>
        </w:rPr>
        <w:t xml:space="preserve"> Does Not Require a Work-Made-For-Hire Agreement to be Signed Prior to the Creation of the Commissioned Work.</w:t>
      </w:r>
    </w:p>
    <w:p w14:paraId="2BE80465" w14:textId="77777777" w:rsidR="00106A4A" w:rsidRDefault="00106A4A" w:rsidP="00106A4A">
      <w:pPr>
        <w:rPr>
          <w:b/>
        </w:rPr>
      </w:pPr>
    </w:p>
    <w:p w14:paraId="7EFD7326" w14:textId="77777777" w:rsidR="00106A4A" w:rsidRPr="00136733" w:rsidRDefault="00106A4A" w:rsidP="00106A4A">
      <w:pPr>
        <w:numPr>
          <w:ilvl w:val="0"/>
          <w:numId w:val="5"/>
        </w:numPr>
        <w:rPr>
          <w:b/>
        </w:rPr>
      </w:pPr>
      <w:r>
        <w:rPr>
          <w:b/>
        </w:rPr>
        <w:t xml:space="preserve">The </w:t>
      </w:r>
      <w:r w:rsidR="007152A1">
        <w:rPr>
          <w:b/>
        </w:rPr>
        <w:t xml:space="preserve">Plain </w:t>
      </w:r>
      <w:r w:rsidR="00840002">
        <w:rPr>
          <w:b/>
        </w:rPr>
        <w:t xml:space="preserve">Text of § 101(2) Does Not Mandate the </w:t>
      </w:r>
      <w:r>
        <w:rPr>
          <w:b/>
        </w:rPr>
        <w:t>Execution of a Signed Writing Prior to the Creation of a Commissioned Work</w:t>
      </w:r>
      <w:r w:rsidR="003432ED">
        <w:rPr>
          <w:b/>
        </w:rPr>
        <w:t>.</w:t>
      </w:r>
      <w:r>
        <w:rPr>
          <w:b/>
        </w:rPr>
        <w:t xml:space="preserve"> </w:t>
      </w:r>
    </w:p>
    <w:p w14:paraId="5C377E8D" w14:textId="77777777" w:rsidR="00136733" w:rsidRDefault="00136733" w:rsidP="00136733">
      <w:pPr>
        <w:ind w:left="720"/>
      </w:pPr>
    </w:p>
    <w:p w14:paraId="57FEC9E7" w14:textId="77777777" w:rsidR="00576E00" w:rsidRDefault="00576E00" w:rsidP="00BC712C">
      <w:pPr>
        <w:widowControl/>
        <w:spacing w:line="480" w:lineRule="auto"/>
        <w:ind w:firstLine="720"/>
      </w:pPr>
      <w:r>
        <w:t>When interpreting a statute, a court must begin with the pla</w:t>
      </w:r>
      <w:r w:rsidR="008A4F89">
        <w:t xml:space="preserve">in </w:t>
      </w:r>
      <w:r w:rsidR="00E62705">
        <w:t xml:space="preserve">language and interpret it by its </w:t>
      </w:r>
      <w:r>
        <w:t xml:space="preserve">ordinary, common meaning.  </w:t>
      </w:r>
      <w:r w:rsidRPr="004A213F">
        <w:rPr>
          <w:i/>
        </w:rPr>
        <w:t>Arlington Cent. Sch. Dist. Bd. Of Educ. v. Murphy,</w:t>
      </w:r>
      <w:r w:rsidR="00A700C1">
        <w:t xml:space="preserve"> 548 U.S. 291, 298</w:t>
      </w:r>
      <w:r w:rsidRPr="004A213F">
        <w:t xml:space="preserve"> (2006).  </w:t>
      </w:r>
      <w:r w:rsidR="00BA6D45">
        <w:t xml:space="preserve">The plain language of § 101(2) does not include a requirement that a written agreement be signed prior to the work’s creation.  The plain language </w:t>
      </w:r>
      <w:r w:rsidR="00035315">
        <w:t>only requires the execution of a signed writing at some point during the parties’ relationship, but it does not indicate when.  The mutual assent of the parties established in an earlier oral agreement could easily and validly be formalized in a written agreement after the work is created.</w:t>
      </w:r>
    </w:p>
    <w:p w14:paraId="64948539" w14:textId="77777777" w:rsidR="00AF4FF6" w:rsidRDefault="00BA6D45" w:rsidP="00BA6D45">
      <w:pPr>
        <w:widowControl/>
        <w:spacing w:line="480" w:lineRule="auto"/>
      </w:pPr>
      <w:r>
        <w:tab/>
        <w:t xml:space="preserve">The text of § 101(2) does not include a requirement that the writing be signed </w:t>
      </w:r>
      <w:r w:rsidRPr="00BA6D45">
        <w:rPr>
          <w:i/>
        </w:rPr>
        <w:t>before</w:t>
      </w:r>
      <w:r>
        <w:t xml:space="preserve"> the work is created and thus it would be inappropriate to insert the meaning of a word into the statute when that word has been excluded.  </w:t>
      </w:r>
      <w:r w:rsidR="00263B53">
        <w:t xml:space="preserve">It is assumed that each word chosen by Congress has a purpose and the </w:t>
      </w:r>
      <w:r w:rsidR="00263B53" w:rsidRPr="0069034E">
        <w:rPr>
          <w:i/>
        </w:rPr>
        <w:t>exclusion</w:t>
      </w:r>
      <w:r w:rsidR="00263B53">
        <w:t xml:space="preserve"> of specific words is also purposeful.  Had Congress </w:t>
      </w:r>
      <w:r w:rsidR="00BD60E6">
        <w:t xml:space="preserve">intended </w:t>
      </w:r>
      <w:r w:rsidR="00842B09">
        <w:t xml:space="preserve">to require a writing prior to the work’s </w:t>
      </w:r>
      <w:r w:rsidR="00BD60E6">
        <w:t xml:space="preserve">creation, it would have used the text to do so.  </w:t>
      </w:r>
      <w:r w:rsidR="00035315" w:rsidRPr="00FE467C">
        <w:rPr>
          <w:i/>
        </w:rPr>
        <w:t>See</w:t>
      </w:r>
      <w:r w:rsidR="00035315">
        <w:t xml:space="preserve"> </w:t>
      </w:r>
      <w:r w:rsidR="00BD60E6" w:rsidRPr="00BD60E6">
        <w:rPr>
          <w:i/>
        </w:rPr>
        <w:t>Cent. Bank of Denver v. First Interstate Bank,</w:t>
      </w:r>
      <w:r w:rsidR="00BD60E6">
        <w:t xml:space="preserve"> 511 U.S. 164 (1994).  </w:t>
      </w:r>
    </w:p>
    <w:p w14:paraId="30C7C189" w14:textId="77777777" w:rsidR="001B2EFB" w:rsidRDefault="001B2EFB" w:rsidP="00BA6D45">
      <w:pPr>
        <w:widowControl/>
        <w:spacing w:line="480" w:lineRule="auto"/>
      </w:pPr>
    </w:p>
    <w:p w14:paraId="7A5878D6" w14:textId="77777777" w:rsidR="001B2EFB" w:rsidRDefault="001B2EFB" w:rsidP="00BA6D45">
      <w:pPr>
        <w:widowControl/>
        <w:spacing w:line="480" w:lineRule="auto"/>
      </w:pPr>
    </w:p>
    <w:p w14:paraId="2F20A24E" w14:textId="77777777" w:rsidR="00AF4FF6" w:rsidRPr="00FE467C" w:rsidRDefault="00AF4FF6" w:rsidP="00FE467C">
      <w:pPr>
        <w:widowControl/>
        <w:numPr>
          <w:ilvl w:val="0"/>
          <w:numId w:val="5"/>
        </w:numPr>
        <w:rPr>
          <w:b/>
        </w:rPr>
      </w:pPr>
      <w:r w:rsidRPr="00FE467C">
        <w:rPr>
          <w:b/>
        </w:rPr>
        <w:lastRenderedPageBreak/>
        <w:t xml:space="preserve">The Word “Shall” in § </w:t>
      </w:r>
      <w:r w:rsidR="00FE467C" w:rsidRPr="00FE467C">
        <w:rPr>
          <w:b/>
        </w:rPr>
        <w:t xml:space="preserve">101(2) Does </w:t>
      </w:r>
      <w:r w:rsidR="002849A4">
        <w:rPr>
          <w:b/>
        </w:rPr>
        <w:t xml:space="preserve">Not </w:t>
      </w:r>
      <w:r w:rsidR="00892207">
        <w:rPr>
          <w:b/>
        </w:rPr>
        <w:t>Command</w:t>
      </w:r>
      <w:r w:rsidR="00FE467C" w:rsidRPr="00FE467C">
        <w:rPr>
          <w:b/>
        </w:rPr>
        <w:t xml:space="preserve"> that a Writing Be Signed Before the Creation of a Commissioned Work. </w:t>
      </w:r>
    </w:p>
    <w:p w14:paraId="11FF47DB" w14:textId="77777777" w:rsidR="00FE467C" w:rsidRDefault="00FE467C" w:rsidP="00FE467C">
      <w:pPr>
        <w:widowControl/>
        <w:ind w:firstLine="720"/>
      </w:pPr>
    </w:p>
    <w:p w14:paraId="097454E9" w14:textId="77777777" w:rsidR="006317B9" w:rsidRDefault="00FE467C" w:rsidP="00BD60E6">
      <w:pPr>
        <w:widowControl/>
        <w:spacing w:line="480" w:lineRule="auto"/>
        <w:ind w:firstLine="720"/>
      </w:pPr>
      <w:r>
        <w:t xml:space="preserve">In a statute, the word “shall” </w:t>
      </w:r>
      <w:r w:rsidR="00D50280">
        <w:t xml:space="preserve">is used </w:t>
      </w:r>
      <w:r w:rsidR="009D7DD2">
        <w:t xml:space="preserve">often </w:t>
      </w:r>
      <w:r w:rsidR="00D50280">
        <w:t>as</w:t>
      </w:r>
      <w:r>
        <w:t xml:space="preserve"> a command, and in § 101(2) it commands that once a writing is signed, the work must be considered </w:t>
      </w:r>
      <w:r w:rsidR="00064D5F">
        <w:t>made-</w:t>
      </w:r>
      <w:r w:rsidR="006317B9">
        <w:t>for</w:t>
      </w:r>
      <w:r w:rsidR="00064D5F">
        <w:t>-</w:t>
      </w:r>
      <w:r w:rsidR="006317B9">
        <w:t>hire</w:t>
      </w:r>
      <w:r w:rsidR="009D7DD2">
        <w:t>, but it does not indicate that the § 101(2) writing must be signed before the work’s creation</w:t>
      </w:r>
      <w:r w:rsidR="006317B9">
        <w:t>.</w:t>
      </w:r>
      <w:r w:rsidR="00931CA4">
        <w:t xml:space="preserve">  </w:t>
      </w:r>
      <w:r w:rsidR="006B7324">
        <w:rPr>
          <w:i/>
        </w:rPr>
        <w:t>See M</w:t>
      </w:r>
      <w:r w:rsidR="00931CA4" w:rsidRPr="00931CA4">
        <w:rPr>
          <w:i/>
        </w:rPr>
        <w:t>allard v. United State</w:t>
      </w:r>
      <w:r w:rsidR="006B7324">
        <w:rPr>
          <w:i/>
        </w:rPr>
        <w:t>s</w:t>
      </w:r>
      <w:r w:rsidR="00931CA4" w:rsidRPr="00931CA4">
        <w:rPr>
          <w:i/>
        </w:rPr>
        <w:t xml:space="preserve"> Dist. Ct.,</w:t>
      </w:r>
      <w:r w:rsidR="00E41F57">
        <w:t xml:space="preserve"> 490 U.S. 296 </w:t>
      </w:r>
      <w:r w:rsidR="00931CA4">
        <w:t>(1989).</w:t>
      </w:r>
      <w:r w:rsidR="009D7DD2">
        <w:t xml:space="preserve">  </w:t>
      </w:r>
      <w:r>
        <w:t xml:space="preserve"> Although “shall” can be used to imply a future event,</w:t>
      </w:r>
      <w:r w:rsidR="0069034E">
        <w:t xml:space="preserve"> such as the future creation of a commission</w:t>
      </w:r>
      <w:r w:rsidR="00704673">
        <w:t>ed</w:t>
      </w:r>
      <w:r w:rsidR="0069034E">
        <w:t xml:space="preserve"> work,</w:t>
      </w:r>
      <w:r>
        <w:t xml:space="preserve"> </w:t>
      </w:r>
      <w:r w:rsidR="006B7324">
        <w:t xml:space="preserve">its use </w:t>
      </w:r>
      <w:r>
        <w:t xml:space="preserve">is still appropriate even if the work has not been completed.  In § 101(2), “shall” does not refer to </w:t>
      </w:r>
      <w:r w:rsidR="006317B9">
        <w:t>the work</w:t>
      </w:r>
      <w:r w:rsidR="00842B09">
        <w:t xml:space="preserve">’s </w:t>
      </w:r>
      <w:r w:rsidR="00842B09" w:rsidRPr="000D5B07">
        <w:rPr>
          <w:i/>
        </w:rPr>
        <w:t>existence</w:t>
      </w:r>
      <w:r w:rsidR="00842B09">
        <w:t xml:space="preserve">, </w:t>
      </w:r>
      <w:r w:rsidR="006317B9">
        <w:t xml:space="preserve">but rather how the work must be </w:t>
      </w:r>
      <w:r w:rsidR="006317B9" w:rsidRPr="000D5B07">
        <w:rPr>
          <w:i/>
        </w:rPr>
        <w:t>categorized</w:t>
      </w:r>
      <w:r w:rsidR="006317B9">
        <w:t xml:space="preserve"> once an agreement is signed.  The word “shall,” therefore</w:t>
      </w:r>
      <w:r w:rsidR="00931CA4">
        <w:t>,</w:t>
      </w:r>
      <w:r w:rsidR="006317B9">
        <w:t xml:space="preserve"> </w:t>
      </w:r>
      <w:r w:rsidR="00064D5F">
        <w:t xml:space="preserve">refers to the </w:t>
      </w:r>
      <w:r w:rsidR="00892207">
        <w:t xml:space="preserve">work’s status once the writing is signed, and not to the creation of the work itself. </w:t>
      </w:r>
      <w:r w:rsidR="006317B9">
        <w:t xml:space="preserve"> </w:t>
      </w:r>
    </w:p>
    <w:p w14:paraId="4EEA1289" w14:textId="77777777" w:rsidR="00D50280" w:rsidRDefault="00A517BD" w:rsidP="00A517BD">
      <w:pPr>
        <w:widowControl/>
        <w:numPr>
          <w:ilvl w:val="0"/>
          <w:numId w:val="5"/>
        </w:numPr>
        <w:rPr>
          <w:b/>
        </w:rPr>
      </w:pPr>
      <w:r w:rsidRPr="00A517BD">
        <w:rPr>
          <w:b/>
        </w:rPr>
        <w:t xml:space="preserve">A </w:t>
      </w:r>
      <w:r w:rsidR="00EA1258">
        <w:rPr>
          <w:b/>
        </w:rPr>
        <w:t xml:space="preserve">§ 101(2) </w:t>
      </w:r>
      <w:r w:rsidRPr="00A517BD">
        <w:rPr>
          <w:b/>
        </w:rPr>
        <w:t xml:space="preserve">Writing Signed After the Creation of a Commissioned Work-Made-For-Hire is </w:t>
      </w:r>
      <w:r w:rsidR="00EA1258">
        <w:rPr>
          <w:b/>
        </w:rPr>
        <w:t>Different From</w:t>
      </w:r>
      <w:r w:rsidRPr="00A517BD">
        <w:rPr>
          <w:b/>
        </w:rPr>
        <w:t xml:space="preserve"> </w:t>
      </w:r>
      <w:r w:rsidR="0069034E">
        <w:rPr>
          <w:b/>
        </w:rPr>
        <w:t>a Transfer of</w:t>
      </w:r>
      <w:r w:rsidRPr="00A517BD">
        <w:rPr>
          <w:b/>
        </w:rPr>
        <w:t xml:space="preserve"> Copyri</w:t>
      </w:r>
      <w:r w:rsidR="00D50280">
        <w:rPr>
          <w:b/>
        </w:rPr>
        <w:t>ght Ownership and Does Not Make</w:t>
      </w:r>
    </w:p>
    <w:p w14:paraId="04D5EBD6" w14:textId="77777777" w:rsidR="00A517BD" w:rsidRDefault="003432ED" w:rsidP="00D50280">
      <w:pPr>
        <w:widowControl/>
        <w:ind w:left="720"/>
        <w:rPr>
          <w:b/>
        </w:rPr>
      </w:pPr>
      <w:r>
        <w:rPr>
          <w:b/>
        </w:rPr>
        <w:t>§ 101(2) and § 204 Redundant.</w:t>
      </w:r>
    </w:p>
    <w:p w14:paraId="1DC530F5" w14:textId="77777777" w:rsidR="00EB50B8" w:rsidRPr="00A517BD" w:rsidRDefault="00EB50B8" w:rsidP="00EB50B8">
      <w:pPr>
        <w:widowControl/>
        <w:ind w:left="720"/>
        <w:rPr>
          <w:b/>
        </w:rPr>
      </w:pPr>
    </w:p>
    <w:p w14:paraId="30F3F408" w14:textId="77777777" w:rsidR="006317B9" w:rsidRDefault="0069034E" w:rsidP="00D50280">
      <w:pPr>
        <w:widowControl/>
        <w:spacing w:line="480" w:lineRule="auto"/>
        <w:ind w:firstLine="720"/>
      </w:pPr>
      <w:r>
        <w:t xml:space="preserve">A writing signed after a work’s creation is not </w:t>
      </w:r>
      <w:r w:rsidR="00892207">
        <w:t xml:space="preserve">equivalent to </w:t>
      </w:r>
      <w:r>
        <w:t>a transfer of</w:t>
      </w:r>
      <w:r w:rsidR="006317B9">
        <w:t xml:space="preserve"> ownership </w:t>
      </w:r>
      <w:r w:rsidR="00C51424">
        <w:t xml:space="preserve">under </w:t>
      </w:r>
      <w:r>
        <w:t xml:space="preserve">17 U.S.C. § 204 and therefore § 101(2) and § 204 </w:t>
      </w:r>
      <w:r w:rsidR="00D50280">
        <w:t>do not violate</w:t>
      </w:r>
      <w:r>
        <w:t xml:space="preserve"> the presumption against statutory redundancy or surplusage. </w:t>
      </w:r>
      <w:r w:rsidR="00674B01">
        <w:t xml:space="preserve"> </w:t>
      </w:r>
      <w:r w:rsidR="009D7DD2">
        <w:rPr>
          <w:i/>
        </w:rPr>
        <w:t xml:space="preserve">United States v. Alaska, </w:t>
      </w:r>
      <w:r w:rsidR="009D7DD2">
        <w:t xml:space="preserve">521 U.S. 1, 59 (1997).  </w:t>
      </w:r>
      <w:r>
        <w:t xml:space="preserve">These sections are not redundant because there are </w:t>
      </w:r>
      <w:r w:rsidR="00993B69">
        <w:t>important differences between a wo</w:t>
      </w:r>
      <w:r w:rsidR="00931CA4">
        <w:t>rk-made-for-hire and a transferred work</w:t>
      </w:r>
      <w:r w:rsidR="00967E6C">
        <w:t xml:space="preserve">.  </w:t>
      </w:r>
      <w:r w:rsidR="00993B69">
        <w:t>When a work i</w:t>
      </w:r>
      <w:r w:rsidR="006B7324">
        <w:t xml:space="preserve">s </w:t>
      </w:r>
      <w:r w:rsidR="00967E6C">
        <w:t>for-hire, the</w:t>
      </w:r>
      <w:r w:rsidR="00993B69">
        <w:t xml:space="preserve"> </w:t>
      </w:r>
      <w:r w:rsidR="008A4F89">
        <w:t>work’s commissioner</w:t>
      </w:r>
      <w:r w:rsidR="00993B69">
        <w:t xml:space="preserve"> is </w:t>
      </w:r>
      <w:r w:rsidR="00967E6C">
        <w:t>t</w:t>
      </w:r>
      <w:r w:rsidR="00993B69">
        <w:t>he author and owner of all “rights</w:t>
      </w:r>
      <w:r w:rsidR="00D50280">
        <w:t xml:space="preserve"> comprised in the copyright.” 17 U.S.C. § </w:t>
      </w:r>
      <w:r w:rsidR="00993B69">
        <w:t>201(</w:t>
      </w:r>
      <w:r w:rsidR="00D50280">
        <w:t>b).  In contrast, w</w:t>
      </w:r>
      <w:r w:rsidR="00993B69">
        <w:t xml:space="preserve">hen ownership is transferred, </w:t>
      </w:r>
      <w:r w:rsidR="006B7324">
        <w:t>only ownership and not author ship is transferred</w:t>
      </w:r>
      <w:r w:rsidR="00683738">
        <w:t>.  § 201(d)</w:t>
      </w:r>
      <w:r w:rsidR="00993B69">
        <w:t xml:space="preserve">.  This distinction is important because when ownership is transferred, the </w:t>
      </w:r>
      <w:r w:rsidR="00931CA4">
        <w:t>author re</w:t>
      </w:r>
      <w:r w:rsidR="00993B69">
        <w:t>tains the right to terminate the transfer under certain conditions, but this right of termination does n</w:t>
      </w:r>
      <w:r w:rsidR="00683738">
        <w:t>ot apply to works-made-for-hire.  17 U.S.C. § 203</w:t>
      </w:r>
      <w:r w:rsidR="00931CA4">
        <w:t>.</w:t>
      </w:r>
    </w:p>
    <w:p w14:paraId="19E5A642" w14:textId="77777777" w:rsidR="00683738" w:rsidRDefault="00683738" w:rsidP="00BD60E6">
      <w:pPr>
        <w:widowControl/>
        <w:spacing w:line="480" w:lineRule="auto"/>
        <w:ind w:firstLine="720"/>
      </w:pPr>
      <w:r>
        <w:lastRenderedPageBreak/>
        <w:t>Due to the absence of</w:t>
      </w:r>
      <w:r w:rsidR="009D7DD2">
        <w:t xml:space="preserve"> an explicit textual requirement that the § 101(2) writing be </w:t>
      </w:r>
      <w:r w:rsidR="00F81C65">
        <w:t>signed prior to</w:t>
      </w:r>
      <w:r w:rsidR="00E35B40">
        <w:t xml:space="preserve"> the </w:t>
      </w:r>
      <w:r w:rsidR="00B305C0">
        <w:t xml:space="preserve">work’s creation, </w:t>
      </w:r>
      <w:r w:rsidR="00E35B40">
        <w:t xml:space="preserve">the plain text </w:t>
      </w:r>
      <w:r>
        <w:t xml:space="preserve">supports </w:t>
      </w:r>
      <w:r w:rsidR="00892207">
        <w:t xml:space="preserve">the conclusion that no such requirement exists and thus </w:t>
      </w:r>
      <w:r w:rsidR="00744047">
        <w:t>Defendants’</w:t>
      </w:r>
      <w:r>
        <w:t xml:space="preserve"> motion to dismiss should be denied. </w:t>
      </w:r>
    </w:p>
    <w:p w14:paraId="1A27F32B" w14:textId="77777777" w:rsidR="00683738" w:rsidRPr="002849A4" w:rsidRDefault="00683738" w:rsidP="00683738">
      <w:pPr>
        <w:widowControl/>
        <w:numPr>
          <w:ilvl w:val="0"/>
          <w:numId w:val="1"/>
        </w:numPr>
        <w:rPr>
          <w:b/>
          <w:smallCaps/>
        </w:rPr>
      </w:pPr>
      <w:r w:rsidRPr="002849A4">
        <w:rPr>
          <w:b/>
          <w:smallCaps/>
        </w:rPr>
        <w:t>The Legislative History</w:t>
      </w:r>
      <w:r w:rsidR="002849A4">
        <w:rPr>
          <w:b/>
          <w:smallCaps/>
        </w:rPr>
        <w:t xml:space="preserve"> Shows that </w:t>
      </w:r>
      <w:r w:rsidRPr="002849A4">
        <w:rPr>
          <w:b/>
          <w:smallCaps/>
        </w:rPr>
        <w:t>Congress D</w:t>
      </w:r>
      <w:r w:rsidR="009D7DD2">
        <w:rPr>
          <w:b/>
          <w:smallCaps/>
        </w:rPr>
        <w:t>id Not Intend to Require that The § 101(2) Writing B</w:t>
      </w:r>
      <w:r w:rsidRPr="002849A4">
        <w:rPr>
          <w:b/>
          <w:smallCaps/>
        </w:rPr>
        <w:t xml:space="preserve">e Signed by the Parties Prior to the Creation of a Commissioned Work-Made-For-Hire. </w:t>
      </w:r>
    </w:p>
    <w:p w14:paraId="09A86D26" w14:textId="77777777" w:rsidR="00E11433" w:rsidRDefault="00E11433" w:rsidP="00E11433">
      <w:pPr>
        <w:widowControl/>
        <w:ind w:firstLine="360"/>
      </w:pPr>
    </w:p>
    <w:p w14:paraId="1D700AF2" w14:textId="77777777" w:rsidR="002920A7" w:rsidRPr="004A21A9" w:rsidRDefault="002849A4" w:rsidP="002920A7">
      <w:pPr>
        <w:widowControl/>
        <w:numPr>
          <w:ilvl w:val="0"/>
          <w:numId w:val="6"/>
        </w:numPr>
        <w:rPr>
          <w:b/>
        </w:rPr>
      </w:pPr>
      <w:r>
        <w:rPr>
          <w:b/>
        </w:rPr>
        <w:t xml:space="preserve">The </w:t>
      </w:r>
      <w:r w:rsidR="002920A7" w:rsidRPr="004A21A9">
        <w:rPr>
          <w:b/>
        </w:rPr>
        <w:t xml:space="preserve">Copyright Act of 1976 Was Intended to Represent a Compromise </w:t>
      </w:r>
      <w:r w:rsidR="003432ED">
        <w:rPr>
          <w:b/>
        </w:rPr>
        <w:t>Among Competing Interest Groups.</w:t>
      </w:r>
    </w:p>
    <w:p w14:paraId="6E60ABF8" w14:textId="77777777" w:rsidR="002920A7" w:rsidRDefault="002920A7" w:rsidP="002920A7">
      <w:pPr>
        <w:widowControl/>
        <w:ind w:left="720"/>
      </w:pPr>
    </w:p>
    <w:p w14:paraId="0DB242EE" w14:textId="77777777" w:rsidR="00EB50B8" w:rsidRDefault="00A517BD" w:rsidP="005201F8">
      <w:pPr>
        <w:widowControl/>
        <w:spacing w:line="480" w:lineRule="auto"/>
        <w:ind w:firstLine="720"/>
      </w:pPr>
      <w:r>
        <w:t xml:space="preserve">When a statute’s plain language is ambiguous, a court may use legislative history </w:t>
      </w:r>
      <w:r w:rsidR="00066F93">
        <w:t>to</w:t>
      </w:r>
      <w:r w:rsidR="00683738">
        <w:t xml:space="preserve"> </w:t>
      </w:r>
      <w:r w:rsidR="008C6DFD">
        <w:t xml:space="preserve">help determine </w:t>
      </w:r>
      <w:r w:rsidR="004477A9">
        <w:t>Congress’s intent</w:t>
      </w:r>
      <w:r w:rsidR="004477A9" w:rsidRPr="004477A9">
        <w:rPr>
          <w:i/>
        </w:rPr>
        <w:t>.  S</w:t>
      </w:r>
      <w:r>
        <w:rPr>
          <w:i/>
        </w:rPr>
        <w:t>ee S</w:t>
      </w:r>
      <w:r w:rsidR="004477A9" w:rsidRPr="004477A9">
        <w:rPr>
          <w:i/>
        </w:rPr>
        <w:t>afeco Ins. Co. of Am. v. Burr</w:t>
      </w:r>
      <w:r w:rsidR="00066F93">
        <w:t xml:space="preserve">, </w:t>
      </w:r>
      <w:r>
        <w:t xml:space="preserve">551 U.S. 47 (2007).  </w:t>
      </w:r>
      <w:r w:rsidR="00D05018">
        <w:t xml:space="preserve">It is unnecessary to </w:t>
      </w:r>
      <w:r w:rsidR="00D50280">
        <w:t>analyze</w:t>
      </w:r>
      <w:r w:rsidR="00D05018">
        <w:t xml:space="preserve"> the legislative history in this ca</w:t>
      </w:r>
      <w:r w:rsidR="00D50280">
        <w:t>se because</w:t>
      </w:r>
      <w:r w:rsidR="00D05018">
        <w:t xml:space="preserve"> the </w:t>
      </w:r>
      <w:r w:rsidR="00AF455C">
        <w:t>text</w:t>
      </w:r>
      <w:r w:rsidR="00D05018">
        <w:t xml:space="preserve"> of § 101(2) is unambiguous and does not require </w:t>
      </w:r>
      <w:r w:rsidR="006B7324">
        <w:t xml:space="preserve">a </w:t>
      </w:r>
      <w:r w:rsidR="003A4250">
        <w:t xml:space="preserve">signed </w:t>
      </w:r>
      <w:r w:rsidR="006B7324">
        <w:t xml:space="preserve">writing </w:t>
      </w:r>
      <w:r w:rsidR="003A4250">
        <w:t>prior to</w:t>
      </w:r>
      <w:r w:rsidR="00D05018">
        <w:t xml:space="preserve"> the creation o</w:t>
      </w:r>
      <w:r w:rsidR="006B7324">
        <w:t>f a commissioned work. T</w:t>
      </w:r>
      <w:r w:rsidR="00D05018">
        <w:t>he legislative history does</w:t>
      </w:r>
      <w:r w:rsidR="006B7324">
        <w:t>, however,</w:t>
      </w:r>
      <w:r w:rsidR="00D05018">
        <w:t xml:space="preserve"> provide further support for this conclusion.  </w:t>
      </w:r>
      <w:r w:rsidR="004477A9">
        <w:t>Committee Reports are the most authoritativ</w:t>
      </w:r>
      <w:r w:rsidR="00D70E1D">
        <w:t>e source of legislative history</w:t>
      </w:r>
      <w:r w:rsidR="004477A9">
        <w:t xml:space="preserve">.  </w:t>
      </w:r>
      <w:r w:rsidR="004477A9" w:rsidRPr="0072659C">
        <w:rPr>
          <w:i/>
        </w:rPr>
        <w:t>Tellabs, Inc. v. Makor Issues &amp; Rights, Ltd</w:t>
      </w:r>
      <w:r w:rsidR="004477A9">
        <w:t xml:space="preserve">., 551 U.S. 308 (2007).  </w:t>
      </w:r>
      <w:r w:rsidR="002920A7">
        <w:t xml:space="preserve">The Committee Reports establish </w:t>
      </w:r>
      <w:r w:rsidR="004477A9">
        <w:t xml:space="preserve">that a general purpose of the Copyright Act of 1976 was to revise the Act which </w:t>
      </w:r>
      <w:r w:rsidR="00967E6C">
        <w:t>was</w:t>
      </w:r>
      <w:r w:rsidR="004477A9">
        <w:t xml:space="preserve"> essentially unchange</w:t>
      </w:r>
      <w:r w:rsidR="0072659C">
        <w:t>d since 1909.  Technological adv</w:t>
      </w:r>
      <w:r w:rsidR="004477A9">
        <w:t xml:space="preserve">ancements in industries </w:t>
      </w:r>
      <w:r w:rsidR="0072659C">
        <w:t>affected</w:t>
      </w:r>
      <w:r w:rsidR="004477A9">
        <w:t xml:space="preserve"> by copyright law necessitated </w:t>
      </w:r>
      <w:r w:rsidR="00967E6C">
        <w:t>the</w:t>
      </w:r>
      <w:r w:rsidR="004477A9">
        <w:t xml:space="preserve"> revision. </w:t>
      </w:r>
      <w:r w:rsidR="004477A9">
        <w:rPr>
          <w:smallCaps/>
        </w:rPr>
        <w:t>H.R. Rep. No. 94</w:t>
      </w:r>
      <w:r w:rsidR="008C6DFD">
        <w:rPr>
          <w:smallCaps/>
        </w:rPr>
        <w:t>–</w:t>
      </w:r>
      <w:r w:rsidR="004477A9">
        <w:rPr>
          <w:smallCaps/>
        </w:rPr>
        <w:t>1476</w:t>
      </w:r>
      <w:r w:rsidR="003F4A04">
        <w:rPr>
          <w:smallCaps/>
        </w:rPr>
        <w:t xml:space="preserve"> </w:t>
      </w:r>
      <w:r w:rsidR="003F4A04">
        <w:t xml:space="preserve">at 5660 (1976).  The revisions </w:t>
      </w:r>
      <w:r w:rsidR="00D05018">
        <w:t>sought to balance the interests among</w:t>
      </w:r>
      <w:r w:rsidR="006B7324">
        <w:t xml:space="preserve"> various</w:t>
      </w:r>
      <w:r w:rsidR="00AF455C">
        <w:t xml:space="preserve"> groups</w:t>
      </w:r>
      <w:r w:rsidR="00D05018">
        <w:t xml:space="preserve">, such as </w:t>
      </w:r>
      <w:r w:rsidR="003F4A04">
        <w:t>broadcasters</w:t>
      </w:r>
      <w:r w:rsidR="00967E6C">
        <w:t xml:space="preserve">, </w:t>
      </w:r>
      <w:r w:rsidR="00C31D3A">
        <w:t xml:space="preserve">who are interested in “making the most of the latest technologies with the least possible restrictions,” and authors who </w:t>
      </w:r>
      <w:r w:rsidR="00AF455C">
        <w:t>want to protect their “</w:t>
      </w:r>
      <w:r w:rsidR="00C31D3A">
        <w:t>work product” and their rights as</w:t>
      </w:r>
      <w:r w:rsidR="00D70E1D">
        <w:t xml:space="preserve"> individual artists.</w:t>
      </w:r>
      <w:r w:rsidR="00C31D3A">
        <w:t xml:space="preserve">  </w:t>
      </w:r>
      <w:r w:rsidR="003F4A04">
        <w:rPr>
          <w:smallCaps/>
        </w:rPr>
        <w:t xml:space="preserve">H.R. Res. 122, </w:t>
      </w:r>
      <w:r w:rsidR="003F4A04" w:rsidRPr="00D655E7">
        <w:t>94th Cong</w:t>
      </w:r>
      <w:r w:rsidR="003F4A04">
        <w:rPr>
          <w:smallCaps/>
        </w:rPr>
        <w:t xml:space="preserve">., </w:t>
      </w:r>
      <w:r w:rsidR="003F4A04">
        <w:t xml:space="preserve">at 31982 (1976).  </w:t>
      </w:r>
    </w:p>
    <w:p w14:paraId="0ABE656D" w14:textId="77777777" w:rsidR="002920A7" w:rsidRDefault="002920A7" w:rsidP="002920A7">
      <w:pPr>
        <w:widowControl/>
        <w:numPr>
          <w:ilvl w:val="0"/>
          <w:numId w:val="6"/>
        </w:numPr>
        <w:rPr>
          <w:b/>
        </w:rPr>
      </w:pPr>
      <w:r w:rsidRPr="002920A7">
        <w:rPr>
          <w:b/>
        </w:rPr>
        <w:t xml:space="preserve">Congress’s Intent to Ensure the Mutual Assent of </w:t>
      </w:r>
      <w:r w:rsidR="00AE1485">
        <w:rPr>
          <w:b/>
        </w:rPr>
        <w:t xml:space="preserve">the </w:t>
      </w:r>
      <w:r w:rsidRPr="002920A7">
        <w:rPr>
          <w:b/>
        </w:rPr>
        <w:t>Parties</w:t>
      </w:r>
      <w:r w:rsidR="00AE1485">
        <w:rPr>
          <w:b/>
        </w:rPr>
        <w:t xml:space="preserve"> in a</w:t>
      </w:r>
      <w:r w:rsidRPr="002920A7">
        <w:rPr>
          <w:b/>
        </w:rPr>
        <w:t xml:space="preserve"> Work-Made-For-Hire Agreement Does Not Require the § 101(2) Writing to Be Signed Prior to the Creation of the Commissioned Work.  </w:t>
      </w:r>
    </w:p>
    <w:p w14:paraId="4545CC95" w14:textId="77777777" w:rsidR="002920A7" w:rsidRPr="002920A7" w:rsidRDefault="002920A7" w:rsidP="002920A7">
      <w:pPr>
        <w:widowControl/>
        <w:ind w:left="720"/>
        <w:rPr>
          <w:b/>
        </w:rPr>
      </w:pPr>
    </w:p>
    <w:p w14:paraId="21C63CA2" w14:textId="77777777" w:rsidR="0026655B" w:rsidRDefault="00FC483B" w:rsidP="0026655B">
      <w:pPr>
        <w:widowControl/>
        <w:spacing w:line="480" w:lineRule="auto"/>
        <w:ind w:firstLine="720"/>
      </w:pPr>
      <w:r>
        <w:t xml:space="preserve">Section 101 was substantially revised for </w:t>
      </w:r>
      <w:r w:rsidR="00A00262">
        <w:t xml:space="preserve">the </w:t>
      </w:r>
      <w:r>
        <w:t xml:space="preserve">1976 </w:t>
      </w:r>
      <w:r w:rsidR="00AE1485">
        <w:t>Act</w:t>
      </w:r>
      <w:r w:rsidR="004A21A9">
        <w:t xml:space="preserve">.  </w:t>
      </w:r>
      <w:r w:rsidR="00C31D3A">
        <w:t>T</w:t>
      </w:r>
      <w:r w:rsidR="00A00262">
        <w:t xml:space="preserve">he addition of § 101(2) </w:t>
      </w:r>
      <w:r w:rsidR="004A21A9">
        <w:t>specified</w:t>
      </w:r>
      <w:r w:rsidR="0001570D">
        <w:t xml:space="preserve"> nine categories of commissionable works-for –hire outside </w:t>
      </w:r>
      <w:r w:rsidR="00A00262">
        <w:t xml:space="preserve">of an </w:t>
      </w:r>
      <w:r w:rsidR="00C31D3A">
        <w:t>employer-employee</w:t>
      </w:r>
      <w:r w:rsidR="00A00262">
        <w:t xml:space="preserve"> </w:t>
      </w:r>
      <w:r w:rsidR="00A00262">
        <w:lastRenderedPageBreak/>
        <w:t>relationship</w:t>
      </w:r>
      <w:r w:rsidR="00C31D3A">
        <w:t xml:space="preserve">, </w:t>
      </w:r>
      <w:r w:rsidR="00572B2F">
        <w:t>provided that the parties agree</w:t>
      </w:r>
      <w:r w:rsidR="00D05018">
        <w:t>d</w:t>
      </w:r>
      <w:r w:rsidR="00572B2F">
        <w:t xml:space="preserve"> to the commission in writing.</w:t>
      </w:r>
      <w:r w:rsidR="00A00262">
        <w:t xml:space="preserve">  H.R. Rep. </w:t>
      </w:r>
      <w:r w:rsidR="00572B2F">
        <w:t xml:space="preserve">94-1476 </w:t>
      </w:r>
      <w:r w:rsidR="00C31D3A">
        <w:t xml:space="preserve">at 5737 (1976).  </w:t>
      </w:r>
      <w:r w:rsidR="0026655B">
        <w:t>Congress’s</w:t>
      </w:r>
      <w:r w:rsidR="00076669">
        <w:t xml:space="preserve"> general</w:t>
      </w:r>
      <w:r w:rsidR="0026655B">
        <w:t xml:space="preserve"> intent was not focused on the actual written agreement, but rather on what </w:t>
      </w:r>
      <w:r w:rsidR="00507947">
        <w:t>a signed</w:t>
      </w:r>
      <w:r w:rsidR="0026655B">
        <w:t xml:space="preserve"> writing represents:</w:t>
      </w:r>
      <w:r w:rsidR="00AF455C">
        <w:t xml:space="preserve"> the</w:t>
      </w:r>
      <w:r w:rsidR="0026655B">
        <w:t xml:space="preserve"> </w:t>
      </w:r>
      <w:r w:rsidR="00D64000">
        <w:t>mutual assent of the parties.  T</w:t>
      </w:r>
      <w:r w:rsidR="0026655B">
        <w:t xml:space="preserve">his is evidenced by </w:t>
      </w:r>
      <w:r w:rsidR="004A21A9">
        <w:t xml:space="preserve">the </w:t>
      </w:r>
      <w:r w:rsidR="00BE78B1">
        <w:t xml:space="preserve">lack of discussion on the specific issue of the timing of the writing and the absence of an explicit textual requirement that the writing be signed </w:t>
      </w:r>
      <w:r w:rsidR="00BE78B1" w:rsidRPr="00BE78B1">
        <w:rPr>
          <w:i/>
        </w:rPr>
        <w:t>prior</w:t>
      </w:r>
      <w:r w:rsidR="00BE78B1">
        <w:t xml:space="preserve"> </w:t>
      </w:r>
      <w:r w:rsidR="0026655B">
        <w:t xml:space="preserve">to </w:t>
      </w:r>
      <w:r w:rsidR="004A21A9">
        <w:t xml:space="preserve">the work’s creation.  </w:t>
      </w:r>
      <w:r w:rsidR="0026655B">
        <w:t xml:space="preserve">The exclusion of a timing requirement </w:t>
      </w:r>
      <w:r w:rsidR="00507947">
        <w:t>is evidence</w:t>
      </w:r>
      <w:r w:rsidR="0026655B">
        <w:t xml:space="preserve"> that other methods of agreement are acceptable, as long as a writing is later executed to r</w:t>
      </w:r>
      <w:r w:rsidR="00AF455C">
        <w:t xml:space="preserve">eflect the prior </w:t>
      </w:r>
      <w:r w:rsidR="00076669">
        <w:t xml:space="preserve">agreement.   </w:t>
      </w:r>
      <w:r w:rsidR="00076669" w:rsidRPr="00AF455C">
        <w:t xml:space="preserve">Just as the court must not create exceptions </w:t>
      </w:r>
      <w:r w:rsidR="00AE1485" w:rsidRPr="00AF455C">
        <w:t>beyond</w:t>
      </w:r>
      <w:r w:rsidR="00076669" w:rsidRPr="00AF455C">
        <w:t xml:space="preserve"> those specified by Congress in a statute, the court also </w:t>
      </w:r>
      <w:r w:rsidR="00AE1485" w:rsidRPr="00AF455C">
        <w:t>should</w:t>
      </w:r>
      <w:r w:rsidR="00076669" w:rsidRPr="00AF455C">
        <w:t xml:space="preserve"> not make statutory requirements more restrictive than the </w:t>
      </w:r>
      <w:r w:rsidR="00507947">
        <w:t xml:space="preserve">statute’s text </w:t>
      </w:r>
      <w:r w:rsidR="00EA1258" w:rsidRPr="00AF455C">
        <w:t>and legislative history indicate they should be.</w:t>
      </w:r>
      <w:r w:rsidR="00EA1258">
        <w:t xml:space="preserve">  </w:t>
      </w:r>
      <w:r w:rsidR="00EA1258" w:rsidRPr="00EA1258">
        <w:rPr>
          <w:i/>
        </w:rPr>
        <w:t>See</w:t>
      </w:r>
      <w:r w:rsidR="00EA1258">
        <w:t xml:space="preserve"> </w:t>
      </w:r>
      <w:r w:rsidR="00EA1258" w:rsidRPr="00EA1258">
        <w:rPr>
          <w:i/>
        </w:rPr>
        <w:t>United States v. Smith,</w:t>
      </w:r>
      <w:r w:rsidR="00EA1258">
        <w:t xml:space="preserve"> 499 U.S. 160, 166-67 (1991).  </w:t>
      </w:r>
      <w:r w:rsidR="0026655B">
        <w:t xml:space="preserve">The compromises in the revised Act reflect Congress’s intent to facilitate the </w:t>
      </w:r>
      <w:r w:rsidR="00AE1485">
        <w:t>parties’ mutual assent</w:t>
      </w:r>
      <w:r w:rsidR="0026655B">
        <w:t xml:space="preserve">, which does not require that a writing be signed at the beginning of the parties’ relationship. </w:t>
      </w:r>
    </w:p>
    <w:p w14:paraId="4D10D7C9" w14:textId="77777777" w:rsidR="002920A7" w:rsidRDefault="002920A7" w:rsidP="002920A7">
      <w:pPr>
        <w:widowControl/>
        <w:spacing w:line="480" w:lineRule="auto"/>
        <w:ind w:firstLine="720"/>
      </w:pPr>
      <w:r>
        <w:t>The concerns addressed by Congress in the legislative process, such as the concern that an artist may unknowingly sign away his rights or be “induced to sign a form contract stating that his work is made for hi</w:t>
      </w:r>
      <w:r w:rsidR="00AF455C">
        <w:t>re,” are not disregarded if the</w:t>
      </w:r>
      <w:r>
        <w:t xml:space="preserve"> writing may be signed either before or after the work’s creation.  </w:t>
      </w:r>
      <w:r w:rsidRPr="00CC1679">
        <w:t>Comm. Print 1965 at 28.</w:t>
      </w:r>
      <w:r>
        <w:t xml:space="preserve">  This interpretation would further, rather than defeat, Congress’s goals by recognizing those circumstances in which parties clearly intend for a work to be made-for-hire but nevertheless do not execute a signed writing until after the work’s completion.  Requiring the writing to be signed prior to the work’s creation could frustrate the parties’ intent, thereby defeating Congress’s goal of facilitating the mutual assent of the parties </w:t>
      </w:r>
      <w:r w:rsidR="002C7512">
        <w:t xml:space="preserve">and balancing the needs and desires of </w:t>
      </w:r>
      <w:r>
        <w:t xml:space="preserve">various interest groups.  </w:t>
      </w:r>
    </w:p>
    <w:p w14:paraId="1A33180F" w14:textId="77777777" w:rsidR="002920A7" w:rsidRDefault="002920A7" w:rsidP="002920A7">
      <w:pPr>
        <w:widowControl/>
        <w:numPr>
          <w:ilvl w:val="0"/>
          <w:numId w:val="6"/>
        </w:numPr>
        <w:rPr>
          <w:b/>
        </w:rPr>
      </w:pPr>
      <w:r w:rsidRPr="002920A7">
        <w:rPr>
          <w:b/>
        </w:rPr>
        <w:t>The Lack of Discussion About the Timing of the §</w:t>
      </w:r>
      <w:r w:rsidR="00041EBD">
        <w:rPr>
          <w:b/>
        </w:rPr>
        <w:t xml:space="preserve"> 101(2) Writing </w:t>
      </w:r>
      <w:r w:rsidR="002849A4">
        <w:rPr>
          <w:b/>
        </w:rPr>
        <w:t>Is Evidence</w:t>
      </w:r>
      <w:r w:rsidR="003432ED">
        <w:rPr>
          <w:b/>
        </w:rPr>
        <w:t xml:space="preserve"> that Congress D</w:t>
      </w:r>
      <w:r w:rsidR="00041EBD">
        <w:rPr>
          <w:b/>
        </w:rPr>
        <w:t>id Not Intend a Timing Requirement</w:t>
      </w:r>
      <w:r w:rsidRPr="002920A7">
        <w:rPr>
          <w:b/>
        </w:rPr>
        <w:t xml:space="preserve">. </w:t>
      </w:r>
    </w:p>
    <w:p w14:paraId="352EA95A" w14:textId="77777777" w:rsidR="002920A7" w:rsidRPr="002920A7" w:rsidRDefault="002920A7" w:rsidP="002920A7">
      <w:pPr>
        <w:widowControl/>
        <w:ind w:left="720"/>
        <w:rPr>
          <w:b/>
        </w:rPr>
      </w:pPr>
    </w:p>
    <w:p w14:paraId="5A23BA7C" w14:textId="77777777" w:rsidR="00D56AE2" w:rsidRDefault="00510053" w:rsidP="0072659C">
      <w:pPr>
        <w:widowControl/>
        <w:spacing w:line="480" w:lineRule="auto"/>
        <w:ind w:firstLine="720"/>
      </w:pPr>
      <w:r>
        <w:t>S</w:t>
      </w:r>
      <w:r w:rsidR="003F4A04">
        <w:t xml:space="preserve">pecially commissioned works-made-for-hire </w:t>
      </w:r>
      <w:r>
        <w:t>were</w:t>
      </w:r>
      <w:r w:rsidR="003F4A04">
        <w:t xml:space="preserve"> a “major issue” in the </w:t>
      </w:r>
      <w:r>
        <w:t>revision of</w:t>
      </w:r>
      <w:r w:rsidR="003F4A04">
        <w:t xml:space="preserve"> </w:t>
      </w:r>
    </w:p>
    <w:p w14:paraId="27B60A41" w14:textId="77777777" w:rsidR="002E3BE8" w:rsidRDefault="003F4A04" w:rsidP="00D56AE2">
      <w:pPr>
        <w:widowControl/>
        <w:spacing w:line="480" w:lineRule="auto"/>
      </w:pPr>
      <w:r>
        <w:lastRenderedPageBreak/>
        <w:t xml:space="preserve">§ 101.  </w:t>
      </w:r>
      <w:r>
        <w:rPr>
          <w:smallCaps/>
        </w:rPr>
        <w:t>H.R. Rep. no. 94</w:t>
      </w:r>
      <w:r w:rsidR="00367C59">
        <w:rPr>
          <w:smallCaps/>
        </w:rPr>
        <w:t>–</w:t>
      </w:r>
      <w:r>
        <w:rPr>
          <w:smallCaps/>
        </w:rPr>
        <w:t xml:space="preserve">1476 </w:t>
      </w:r>
      <w:r>
        <w:t xml:space="preserve">at 5737.  Most of the debates, however, </w:t>
      </w:r>
      <w:r w:rsidR="00E60B6A">
        <w:t>did</w:t>
      </w:r>
      <w:r>
        <w:t xml:space="preserve"> not focus on the signed writing but rather on the categor</w:t>
      </w:r>
      <w:r w:rsidR="0072659C">
        <w:t>ies of work that can be specially commissioned</w:t>
      </w:r>
      <w:r>
        <w:t xml:space="preserve">.  There </w:t>
      </w:r>
      <w:r w:rsidR="00E60B6A">
        <w:t>was</w:t>
      </w:r>
      <w:r>
        <w:t xml:space="preserve"> no discussion in the House Report </w:t>
      </w:r>
      <w:r w:rsidR="00066F93">
        <w:t xml:space="preserve">about </w:t>
      </w:r>
      <w:r>
        <w:t xml:space="preserve">the timing of the signed writing.  </w:t>
      </w:r>
      <w:r w:rsidRPr="003F4A04">
        <w:rPr>
          <w:i/>
        </w:rPr>
        <w:t>Id</w:t>
      </w:r>
      <w:r w:rsidR="002E3BE8">
        <w:t>. at 5737.  Other</w:t>
      </w:r>
      <w:r w:rsidR="00066F93">
        <w:t xml:space="preserve"> sources also </w:t>
      </w:r>
      <w:r w:rsidR="00E60B6A">
        <w:t>indicate that § 101 was  “hotly contested” because of its</w:t>
      </w:r>
      <w:r w:rsidR="002E3BE8">
        <w:t xml:space="preserve"> important </w:t>
      </w:r>
      <w:r w:rsidR="0072659C">
        <w:t>consequences</w:t>
      </w:r>
      <w:r w:rsidR="00066F93">
        <w:t xml:space="preserve"> for ownership, but once again</w:t>
      </w:r>
      <w:r w:rsidR="00E60B6A">
        <w:t>,</w:t>
      </w:r>
      <w:r w:rsidR="002E3BE8">
        <w:t xml:space="preserve"> most of the </w:t>
      </w:r>
      <w:r w:rsidR="00507947">
        <w:t>debates</w:t>
      </w:r>
      <w:r w:rsidR="00510053">
        <w:t xml:space="preserve"> revolved around </w:t>
      </w:r>
      <w:r w:rsidR="002E3BE8">
        <w:t xml:space="preserve">whether specially commissioned works should be </w:t>
      </w:r>
      <w:r w:rsidR="00C265E3">
        <w:t>allowed</w:t>
      </w:r>
      <w:r w:rsidR="002E3BE8">
        <w:t xml:space="preserve"> to be work</w:t>
      </w:r>
      <w:r w:rsidR="00510053">
        <w:t xml:space="preserve">s-made-for-hire, and if so, </w:t>
      </w:r>
      <w:r w:rsidR="002E3BE8">
        <w:t xml:space="preserve">which </w:t>
      </w:r>
      <w:r w:rsidR="00E60B6A">
        <w:t>types</w:t>
      </w:r>
      <w:r w:rsidR="002E3BE8">
        <w:t xml:space="preserve"> of work could be specially commissioned.  </w:t>
      </w:r>
      <w:r w:rsidR="002E3BE8" w:rsidRPr="00E60B6A">
        <w:t>O</w:t>
      </w:r>
      <w:r w:rsidR="00E60B6A" w:rsidRPr="00E60B6A">
        <w:rPr>
          <w:smallCaps/>
        </w:rPr>
        <w:t>ffice of the Reg. of Copyrights, 89th Cong., Supplementary R</w:t>
      </w:r>
      <w:r w:rsidR="002E3BE8" w:rsidRPr="00E60B6A">
        <w:rPr>
          <w:smallCaps/>
        </w:rPr>
        <w:t>eg</w:t>
      </w:r>
      <w:r w:rsidR="00553FB6" w:rsidRPr="00E60B6A">
        <w:rPr>
          <w:smallCaps/>
        </w:rPr>
        <w:t>.</w:t>
      </w:r>
      <w:r w:rsidR="002E3BE8" w:rsidRPr="00E60B6A">
        <w:rPr>
          <w:smallCaps/>
        </w:rPr>
        <w:t xml:space="preserve"> </w:t>
      </w:r>
      <w:r w:rsidR="00E60B6A" w:rsidRPr="00E60B6A">
        <w:rPr>
          <w:smallCaps/>
        </w:rPr>
        <w:t>R</w:t>
      </w:r>
      <w:r w:rsidR="002E3BE8" w:rsidRPr="00E60B6A">
        <w:rPr>
          <w:smallCaps/>
        </w:rPr>
        <w:t>ep</w:t>
      </w:r>
      <w:r w:rsidR="00553FB6" w:rsidRPr="00E60B6A">
        <w:rPr>
          <w:smallCaps/>
        </w:rPr>
        <w:t>.</w:t>
      </w:r>
      <w:r w:rsidR="00E60B6A" w:rsidRPr="00E60B6A">
        <w:rPr>
          <w:smallCaps/>
        </w:rPr>
        <w:t xml:space="preserve"> on the Gen. Revision of the </w:t>
      </w:r>
      <w:r w:rsidR="002E3BE8" w:rsidRPr="00E60B6A">
        <w:rPr>
          <w:smallCaps/>
        </w:rPr>
        <w:t xml:space="preserve"> U.S. Copyright Law (</w:t>
      </w:r>
      <w:r w:rsidR="002E3BE8" w:rsidRPr="00E60B6A">
        <w:t xml:space="preserve">Comm. Print 1965); </w:t>
      </w:r>
      <w:r w:rsidR="002E3BE8" w:rsidRPr="00E60B6A">
        <w:rPr>
          <w:smallCaps/>
        </w:rPr>
        <w:t>Office of the Reg. of Copyrights, 94th Cong., Second Supplementary Rep</w:t>
      </w:r>
      <w:r w:rsidR="00553FB6" w:rsidRPr="00E60B6A">
        <w:rPr>
          <w:smallCaps/>
        </w:rPr>
        <w:t>.</w:t>
      </w:r>
      <w:r w:rsidR="002E3BE8" w:rsidRPr="00E60B6A">
        <w:rPr>
          <w:smallCaps/>
        </w:rPr>
        <w:t xml:space="preserve"> of the Reg</w:t>
      </w:r>
      <w:r w:rsidR="00553FB6" w:rsidRPr="00E60B6A">
        <w:rPr>
          <w:smallCaps/>
        </w:rPr>
        <w:t>.</w:t>
      </w:r>
      <w:r w:rsidR="002E3BE8" w:rsidRPr="00E60B6A">
        <w:rPr>
          <w:smallCaps/>
        </w:rPr>
        <w:t xml:space="preserve"> of Copyrights on the Gen</w:t>
      </w:r>
      <w:r w:rsidR="00BD5B63" w:rsidRPr="00E60B6A">
        <w:rPr>
          <w:smallCaps/>
        </w:rPr>
        <w:t>.</w:t>
      </w:r>
      <w:r w:rsidR="002E3BE8" w:rsidRPr="00E60B6A">
        <w:rPr>
          <w:smallCaps/>
        </w:rPr>
        <w:t xml:space="preserve"> Revision of the U.S. Copyright Law (</w:t>
      </w:r>
      <w:r w:rsidR="002E3BE8" w:rsidRPr="00E60B6A">
        <w:t>Comm. Print 1975).</w:t>
      </w:r>
      <w:r w:rsidR="00041EBD">
        <w:t xml:space="preserve"> </w:t>
      </w:r>
      <w:r w:rsidR="00076669">
        <w:t xml:space="preserve"> </w:t>
      </w:r>
    </w:p>
    <w:p w14:paraId="0DB425F9" w14:textId="77777777" w:rsidR="003F4A04" w:rsidRDefault="002E3BE8" w:rsidP="00E35B40">
      <w:pPr>
        <w:widowControl/>
        <w:spacing w:line="480" w:lineRule="auto"/>
        <w:ind w:firstLine="720"/>
      </w:pPr>
      <w:r>
        <w:t>After much debate, Congre</w:t>
      </w:r>
      <w:r w:rsidR="00D655E7">
        <w:t xml:space="preserve">ss decided to include </w:t>
      </w:r>
      <w:r>
        <w:t xml:space="preserve">§ 101(2) in the Act, illustrating </w:t>
      </w:r>
      <w:r w:rsidR="00553FB6">
        <w:t>its</w:t>
      </w:r>
      <w:r>
        <w:t xml:space="preserve"> intent to balance the rights of individual </w:t>
      </w:r>
      <w:r w:rsidR="00553FB6">
        <w:t>artists</w:t>
      </w:r>
      <w:r>
        <w:t xml:space="preserve"> with the practical needs of various industries, such as the television industry in which both par</w:t>
      </w:r>
      <w:r w:rsidR="00D16A1E">
        <w:t>ties</w:t>
      </w:r>
      <w:r w:rsidR="00510053">
        <w:t xml:space="preserve"> </w:t>
      </w:r>
      <w:r w:rsidR="00E60B6A">
        <w:t>to this case</w:t>
      </w:r>
      <w:r w:rsidR="00D16A1E">
        <w:t xml:space="preserve"> are involved</w:t>
      </w:r>
      <w:r w:rsidR="00947E7D">
        <w:t xml:space="preserve">.  By </w:t>
      </w:r>
      <w:r w:rsidR="00510053">
        <w:t>restricting</w:t>
      </w:r>
      <w:r w:rsidR="00947E7D">
        <w:t xml:space="preserve"> the categories of</w:t>
      </w:r>
      <w:r w:rsidR="00510053">
        <w:t xml:space="preserve"> commissionable</w:t>
      </w:r>
      <w:r w:rsidR="00947E7D">
        <w:t xml:space="preserve"> work, </w:t>
      </w:r>
      <w:r w:rsidR="00D16A1E">
        <w:t xml:space="preserve">Congress </w:t>
      </w:r>
      <w:r w:rsidR="00D844F1">
        <w:t>sought</w:t>
      </w:r>
      <w:r w:rsidR="00D16A1E">
        <w:t xml:space="preserve"> to </w:t>
      </w:r>
      <w:r w:rsidR="00066F93">
        <w:t>protect the rights of</w:t>
      </w:r>
      <w:r w:rsidR="00D16A1E">
        <w:t xml:space="preserve"> commissioned artists while </w:t>
      </w:r>
      <w:r w:rsidR="00E60B6A">
        <w:t>maintaining a commissioner’s ability to</w:t>
      </w:r>
      <w:r w:rsidR="00D16A1E">
        <w:t xml:space="preserve"> obtain the rights of authorship and ownership, particularly in industries where this is standard practice and in which works “for practical reasons are </w:t>
      </w:r>
      <w:r w:rsidR="00D16A1E" w:rsidRPr="00AF455C">
        <w:t>prepared ‘</w:t>
      </w:r>
      <w:r w:rsidR="00947E7D" w:rsidRPr="00AF455C">
        <w:t>on special order or commission’”</w:t>
      </w:r>
      <w:r w:rsidR="00947E7D">
        <w:t xml:space="preserve"> and “by</w:t>
      </w:r>
      <w:r w:rsidR="00D16A1E">
        <w:t xml:space="preserve"> their nature deserve to be treated as ‘works made for hire.’” </w:t>
      </w:r>
      <w:r w:rsidR="00D16A1E" w:rsidRPr="00752B27">
        <w:t>Comm. Print 1975 at 300.</w:t>
      </w:r>
      <w:r w:rsidR="00D16A1E">
        <w:t xml:space="preserve">  </w:t>
      </w:r>
      <w:r w:rsidR="00D10837">
        <w:t xml:space="preserve">The inclusion of § 101(2) illustrates Congress’s recognition that there are industries where independent contractors, such as Lime, are </w:t>
      </w:r>
      <w:r w:rsidR="00E84657">
        <w:t>commissioned to contribute to the creation of a work</w:t>
      </w:r>
      <w:r w:rsidR="00E60B6A">
        <w:t>,</w:t>
      </w:r>
      <w:r w:rsidR="00E84657">
        <w:t xml:space="preserve"> </w:t>
      </w:r>
      <w:r w:rsidR="00586944">
        <w:t>and</w:t>
      </w:r>
      <w:r w:rsidR="00E84657">
        <w:t xml:space="preserve"> for practical reasons the commissioner needs to maintain the rights of ownership.</w:t>
      </w:r>
      <w:r w:rsidR="00D844F1">
        <w:t xml:space="preserve">  </w:t>
      </w:r>
      <w:r w:rsidR="00AF455C">
        <w:t xml:space="preserve">Therefore, it is unlikely </w:t>
      </w:r>
      <w:r w:rsidR="00D844F1">
        <w:t xml:space="preserve">that Congress intended to create unnecessary obstacles, such as a strict requirement that the writing be signed prior to a commissioned work’s creation, to the formation of a work-for-hire agreement.  </w:t>
      </w:r>
      <w:r w:rsidR="00E84657">
        <w:t xml:space="preserve">  </w:t>
      </w:r>
    </w:p>
    <w:p w14:paraId="53218A70" w14:textId="77777777" w:rsidR="002920A7" w:rsidRDefault="002920A7" w:rsidP="002920A7">
      <w:pPr>
        <w:widowControl/>
        <w:numPr>
          <w:ilvl w:val="0"/>
          <w:numId w:val="6"/>
        </w:numPr>
        <w:rPr>
          <w:b/>
        </w:rPr>
      </w:pPr>
      <w:r w:rsidRPr="002920A7">
        <w:rPr>
          <w:b/>
        </w:rPr>
        <w:lastRenderedPageBreak/>
        <w:t>Barbara Ringer’</w:t>
      </w:r>
      <w:r>
        <w:rPr>
          <w:b/>
        </w:rPr>
        <w:t>s Statement Made in 1964 i</w:t>
      </w:r>
      <w:r w:rsidRPr="002920A7">
        <w:rPr>
          <w:b/>
        </w:rPr>
        <w:t xml:space="preserve">s Not Binding and </w:t>
      </w:r>
      <w:r w:rsidR="00D25292">
        <w:rPr>
          <w:b/>
        </w:rPr>
        <w:t>i</w:t>
      </w:r>
      <w:r w:rsidR="00507947">
        <w:rPr>
          <w:b/>
        </w:rPr>
        <w:t xml:space="preserve">s Not </w:t>
      </w:r>
      <w:r w:rsidR="00D25292">
        <w:rPr>
          <w:b/>
        </w:rPr>
        <w:t>Evidence o</w:t>
      </w:r>
      <w:r w:rsidR="00507947">
        <w:rPr>
          <w:b/>
        </w:rPr>
        <w:t xml:space="preserve">f Congress’s Intent. </w:t>
      </w:r>
      <w:r w:rsidRPr="002920A7">
        <w:rPr>
          <w:b/>
        </w:rPr>
        <w:t xml:space="preserve"> </w:t>
      </w:r>
    </w:p>
    <w:p w14:paraId="48C8C161" w14:textId="77777777" w:rsidR="002920A7" w:rsidRPr="002920A7" w:rsidRDefault="002920A7" w:rsidP="002920A7">
      <w:pPr>
        <w:widowControl/>
        <w:ind w:left="720"/>
        <w:rPr>
          <w:b/>
        </w:rPr>
      </w:pPr>
    </w:p>
    <w:p w14:paraId="58AF8625" w14:textId="77777777" w:rsidR="003910C6" w:rsidRDefault="002920A7" w:rsidP="007266D0">
      <w:pPr>
        <w:widowControl/>
        <w:spacing w:line="480" w:lineRule="auto"/>
        <w:ind w:firstLine="720"/>
      </w:pPr>
      <w:r>
        <w:t>During a 1964 meeting of the Register of Copyright</w:t>
      </w:r>
      <w:r w:rsidR="00507947">
        <w:t>s</w:t>
      </w:r>
      <w:r>
        <w:t xml:space="preserve">, after concerns </w:t>
      </w:r>
      <w:r w:rsidR="003910C6">
        <w:t>were raised about authors “signing away their rights without realizing that they’re doing so,”</w:t>
      </w:r>
      <w:r>
        <w:t xml:space="preserve"> Barbara</w:t>
      </w:r>
      <w:r w:rsidR="003910C6">
        <w:t xml:space="preserve"> Ringer</w:t>
      </w:r>
      <w:r w:rsidR="00BB3112">
        <w:t>, staff member of the Copyright Office,</w:t>
      </w:r>
      <w:r w:rsidR="003910C6">
        <w:t xml:space="preserve"> made the following statement: “…I would point out that it has to be a </w:t>
      </w:r>
      <w:r w:rsidR="00EF6E19">
        <w:t>‘</w:t>
      </w:r>
      <w:r w:rsidR="003910C6">
        <w:t>work prepared</w:t>
      </w:r>
      <w:r w:rsidR="00EF6E19">
        <w:t xml:space="preserve"> on special order or commission’</w:t>
      </w:r>
      <w:r w:rsidR="003910C6">
        <w:t xml:space="preserve"> in the first place</w:t>
      </w:r>
      <w:r>
        <w:t>. It would not be considered a ‘work made for hire’</w:t>
      </w:r>
      <w:r w:rsidR="003910C6">
        <w:t xml:space="preserve"> if the contract were signed later on – after the work was written, for example.”  </w:t>
      </w:r>
      <w:r w:rsidR="003910C6" w:rsidRPr="001B7084">
        <w:rPr>
          <w:smallCaps/>
        </w:rPr>
        <w:t>Office of the Reg. of Copyrights, 89th Cong., Copyright Law Revision Part 5</w:t>
      </w:r>
      <w:r w:rsidR="003910C6">
        <w:rPr>
          <w:smallCaps/>
        </w:rPr>
        <w:t xml:space="preserve"> at 145</w:t>
      </w:r>
      <w:r w:rsidR="003910C6" w:rsidRPr="001B7084">
        <w:rPr>
          <w:smallCaps/>
        </w:rPr>
        <w:t xml:space="preserve"> (</w:t>
      </w:r>
      <w:r w:rsidR="003910C6" w:rsidRPr="001B7084">
        <w:t>Comm. Print 1964).</w:t>
      </w:r>
      <w:r w:rsidR="00642060">
        <w:t xml:space="preserve">  </w:t>
      </w:r>
      <w:r w:rsidR="00192933">
        <w:t>However, a</w:t>
      </w:r>
      <w:r w:rsidR="00642060">
        <w:t xml:space="preserve">s </w:t>
      </w:r>
      <w:r w:rsidR="00192933">
        <w:t xml:space="preserve">previously argued, </w:t>
      </w:r>
      <w:r w:rsidR="00106D54">
        <w:t xml:space="preserve">the statute’s text </w:t>
      </w:r>
      <w:r w:rsidR="00032282">
        <w:t xml:space="preserve">contains no such requirement.  </w:t>
      </w:r>
      <w:r w:rsidR="008F3EEC">
        <w:t>OGS</w:t>
      </w:r>
      <w:r w:rsidR="003910C6">
        <w:t xml:space="preserve"> is </w:t>
      </w:r>
      <w:r w:rsidR="003910C6" w:rsidRPr="00510053">
        <w:rPr>
          <w:i/>
        </w:rPr>
        <w:t>not</w:t>
      </w:r>
      <w:r w:rsidR="003910C6">
        <w:t xml:space="preserve"> </w:t>
      </w:r>
      <w:r w:rsidR="00A27404">
        <w:t xml:space="preserve">arguing that parties may agree that an existing work is </w:t>
      </w:r>
      <w:r w:rsidR="0091452F">
        <w:t>made-for-hire</w:t>
      </w:r>
      <w:r w:rsidR="002B7662">
        <w:t xml:space="preserve"> if the parties did not </w:t>
      </w:r>
      <w:r w:rsidR="00A27404">
        <w:t>make</w:t>
      </w:r>
      <w:r w:rsidR="002B7662">
        <w:t xml:space="preserve"> </w:t>
      </w:r>
      <w:r w:rsidR="002E3A53">
        <w:t xml:space="preserve">some form of </w:t>
      </w:r>
      <w:r w:rsidR="002B7662">
        <w:t>agreement</w:t>
      </w:r>
      <w:r w:rsidR="00510053">
        <w:t xml:space="preserve"> (oral, written, or otherwise)</w:t>
      </w:r>
      <w:r w:rsidR="002B7662">
        <w:t xml:space="preserve"> prior to the work’s creation.  </w:t>
      </w:r>
      <w:r w:rsidR="008F3EEC">
        <w:t>OGS</w:t>
      </w:r>
      <w:r w:rsidR="002B7662">
        <w:t xml:space="preserve"> is only arguing about the </w:t>
      </w:r>
      <w:r w:rsidR="002B7662" w:rsidRPr="00A27404">
        <w:rPr>
          <w:i/>
        </w:rPr>
        <w:t>form</w:t>
      </w:r>
      <w:r w:rsidR="002B7662">
        <w:t xml:space="preserve"> this previous agreement may take</w:t>
      </w:r>
      <w:r w:rsidR="00A27404">
        <w:t xml:space="preserve">. </w:t>
      </w:r>
      <w:r w:rsidR="002B7662">
        <w:t xml:space="preserve"> As long as there is mutual assent of the parties prior to the creation of the work, written </w:t>
      </w:r>
      <w:r w:rsidR="002B7662" w:rsidRPr="00106D54">
        <w:rPr>
          <w:i/>
        </w:rPr>
        <w:t>or</w:t>
      </w:r>
      <w:r w:rsidR="002B7662">
        <w:t xml:space="preserve"> otherwise, such a work should be considered made-for-hire </w:t>
      </w:r>
      <w:r w:rsidR="0081170D">
        <w:t xml:space="preserve">to reflect the parties’ mutual intent. </w:t>
      </w:r>
    </w:p>
    <w:p w14:paraId="60BA2676" w14:textId="77777777" w:rsidR="002B7662" w:rsidRDefault="002B7662" w:rsidP="007266D0">
      <w:pPr>
        <w:widowControl/>
        <w:spacing w:line="480" w:lineRule="auto"/>
        <w:ind w:firstLine="720"/>
      </w:pPr>
      <w:r>
        <w:t>Ringer’s comment is not binding on the court</w:t>
      </w:r>
      <w:r w:rsidR="0081170D">
        <w:t xml:space="preserve"> because it is not the </w:t>
      </w:r>
      <w:r w:rsidR="002E3A53" w:rsidRPr="002E3A53">
        <w:rPr>
          <w:i/>
        </w:rPr>
        <w:t>Register’s</w:t>
      </w:r>
      <w:r w:rsidR="002E3A53">
        <w:t xml:space="preserve"> intent, but rather </w:t>
      </w:r>
      <w:r w:rsidR="002E3A53" w:rsidRPr="002E3A53">
        <w:rPr>
          <w:i/>
        </w:rPr>
        <w:t>Congress’s</w:t>
      </w:r>
      <w:r w:rsidR="002E3A53">
        <w:t xml:space="preserve"> intent, </w:t>
      </w:r>
      <w:r>
        <w:t>that is</w:t>
      </w:r>
      <w:r w:rsidR="00CC1679">
        <w:t xml:space="preserve"> relevant</w:t>
      </w:r>
      <w:r>
        <w:t>.</w:t>
      </w:r>
      <w:r w:rsidR="005A35DA">
        <w:t xml:space="preserve"> </w:t>
      </w:r>
      <w:r>
        <w:t xml:space="preserve"> </w:t>
      </w:r>
      <w:r w:rsidR="00D02B97">
        <w:t>Additionally</w:t>
      </w:r>
      <w:r>
        <w:t xml:space="preserve">, this statement was made twelve years </w:t>
      </w:r>
      <w:r w:rsidR="0081170D">
        <w:t>before the revision was enacted, m</w:t>
      </w:r>
      <w:r>
        <w:t xml:space="preserve">aking it unlikely the legislators who passed the Act in 1976 knew of or remembered this statement. </w:t>
      </w:r>
      <w:r w:rsidR="00A27404">
        <w:t xml:space="preserve"> </w:t>
      </w:r>
      <w:r>
        <w:t xml:space="preserve">If the timing of the writing is as important as Defendants contend, it would have been explicitly stated in the text.  The </w:t>
      </w:r>
      <w:r w:rsidR="00CC1679">
        <w:t xml:space="preserve">failure of the Register and Congress to include </w:t>
      </w:r>
      <w:r>
        <w:t>such a requirement</w:t>
      </w:r>
      <w:r w:rsidR="00EF6E19">
        <w:t xml:space="preserve"> </w:t>
      </w:r>
      <w:r>
        <w:t xml:space="preserve">weakens the Defendants’ argument. </w:t>
      </w:r>
    </w:p>
    <w:p w14:paraId="606261B8" w14:textId="77777777" w:rsidR="009A7FAF" w:rsidRDefault="0079783C" w:rsidP="00367C59">
      <w:pPr>
        <w:widowControl/>
        <w:spacing w:line="480" w:lineRule="auto"/>
        <w:ind w:firstLine="720"/>
      </w:pPr>
      <w:r>
        <w:t>It is important to note that th</w:t>
      </w:r>
      <w:r w:rsidR="0081170D">
        <w:t>is</w:t>
      </w:r>
      <w:r w:rsidR="00972CDC">
        <w:t xml:space="preserve"> case</w:t>
      </w:r>
      <w:r>
        <w:t xml:space="preserve"> do</w:t>
      </w:r>
      <w:r w:rsidR="0081170D">
        <w:t>es</w:t>
      </w:r>
      <w:r>
        <w:t xml:space="preserve"> not involve the specific concerns raised</w:t>
      </w:r>
      <w:r w:rsidR="00D02B97">
        <w:t xml:space="preserve"> during the revision process.</w:t>
      </w:r>
      <w:r w:rsidR="00E85B9D">
        <w:t xml:space="preserve">  It is apparent</w:t>
      </w:r>
      <w:r w:rsidR="009A7FAF">
        <w:t xml:space="preserve"> Congress wanted to prevent artists from being coerced into signing work-made-for-hire agreements.  However, t</w:t>
      </w:r>
      <w:r w:rsidR="00D02B97">
        <w:t xml:space="preserve">here is no coercion </w:t>
      </w:r>
      <w:r>
        <w:t>when the writing formalizes an existing oral agreement understood by both parties.  When</w:t>
      </w:r>
      <w:r w:rsidR="00F81C65">
        <w:t xml:space="preserve"> there is</w:t>
      </w:r>
      <w:r>
        <w:t xml:space="preserve"> mutual assent </w:t>
      </w:r>
      <w:r>
        <w:lastRenderedPageBreak/>
        <w:t>prior to the work’s creation, the artist knows what to expect and kn</w:t>
      </w:r>
      <w:r w:rsidR="007F53E2">
        <w:t xml:space="preserve">ows she will not be the author or owner of </w:t>
      </w:r>
      <w:r>
        <w:t>t</w:t>
      </w:r>
      <w:r w:rsidR="005630DE">
        <w:t>he work.  Such an agreement is particularly not coercive when one considers the parties</w:t>
      </w:r>
      <w:r w:rsidR="009A7FAF">
        <w:t xml:space="preserve"> in </w:t>
      </w:r>
      <w:r w:rsidR="00972CDC">
        <w:t>this</w:t>
      </w:r>
      <w:r w:rsidR="009A7FAF">
        <w:t xml:space="preserve"> case</w:t>
      </w:r>
      <w:r w:rsidR="00A27404">
        <w:t>:</w:t>
      </w:r>
      <w:r w:rsidR="005630DE">
        <w:t xml:space="preserve"> a well-established television company and an experienced television writer</w:t>
      </w:r>
      <w:r w:rsidR="009A7FAF">
        <w:t>.  Even if Lime did not hav</w:t>
      </w:r>
      <w:r w:rsidR="00D02B97">
        <w:t>e previous experience with work</w:t>
      </w:r>
      <w:r w:rsidR="009A7FAF">
        <w:t xml:space="preserve">-for-hire agreements, </w:t>
      </w:r>
      <w:r w:rsidR="00A27404">
        <w:t>OGS gave her ample oppo</w:t>
      </w:r>
      <w:r w:rsidR="00E85B9D">
        <w:t>rtunity to clarify</w:t>
      </w:r>
      <w:r w:rsidR="00A27404">
        <w:t xml:space="preserve"> or </w:t>
      </w:r>
      <w:r w:rsidR="005630DE">
        <w:t>re</w:t>
      </w:r>
      <w:r w:rsidR="003B6761">
        <w:t xml:space="preserve">fuse the agreement.  </w:t>
      </w:r>
      <w:r w:rsidR="007F53E2">
        <w:t xml:space="preserve">Both parties intended the work to be made-for-hire, </w:t>
      </w:r>
      <w:r w:rsidR="00060AD2">
        <w:t xml:space="preserve">and </w:t>
      </w:r>
      <w:r w:rsidR="007F53E2">
        <w:t>failing</w:t>
      </w:r>
      <w:r w:rsidR="00060AD2">
        <w:t xml:space="preserve"> to enforce</w:t>
      </w:r>
      <w:r w:rsidR="005630DE">
        <w:t xml:space="preserve"> th</w:t>
      </w:r>
      <w:r w:rsidR="007F53E2">
        <w:t>e</w:t>
      </w:r>
      <w:r w:rsidR="005630DE">
        <w:t xml:space="preserve"> agreement </w:t>
      </w:r>
      <w:r w:rsidR="009A7FAF">
        <w:t>solely because</w:t>
      </w:r>
      <w:r w:rsidR="005630DE">
        <w:t xml:space="preserve"> it was not signed prior to the creation of the work, which is </w:t>
      </w:r>
      <w:r w:rsidR="007F53E2">
        <w:t xml:space="preserve">neither required by the plain meaning of the text nor intended by Congress, </w:t>
      </w:r>
      <w:r w:rsidR="00AB0AF3">
        <w:t xml:space="preserve">would frustrate </w:t>
      </w:r>
      <w:r w:rsidR="00060AD2">
        <w:t xml:space="preserve">Congress’s intent and </w:t>
      </w:r>
      <w:r w:rsidR="00D02B97">
        <w:t>general</w:t>
      </w:r>
      <w:r w:rsidR="00060AD2">
        <w:t xml:space="preserve"> goals </w:t>
      </w:r>
      <w:r w:rsidR="00AB0AF3">
        <w:t>for</w:t>
      </w:r>
      <w:r w:rsidR="00060AD2">
        <w:t xml:space="preserve"> the revised Copyright Act. </w:t>
      </w:r>
      <w:r w:rsidR="005630DE">
        <w:t xml:space="preserve">  </w:t>
      </w:r>
    </w:p>
    <w:p w14:paraId="394BBC6A" w14:textId="77777777" w:rsidR="00526630" w:rsidRPr="002849A4" w:rsidRDefault="00B66A7D" w:rsidP="00526630">
      <w:pPr>
        <w:widowControl/>
        <w:numPr>
          <w:ilvl w:val="0"/>
          <w:numId w:val="1"/>
        </w:numPr>
        <w:rPr>
          <w:b/>
          <w:smallCaps/>
        </w:rPr>
      </w:pPr>
      <w:r w:rsidRPr="002849A4">
        <w:rPr>
          <w:b/>
          <w:smallCaps/>
        </w:rPr>
        <w:t xml:space="preserve">The </w:t>
      </w:r>
      <w:r w:rsidR="00972CDC" w:rsidRPr="002849A4">
        <w:rPr>
          <w:b/>
          <w:smallCaps/>
        </w:rPr>
        <w:t>First And</w:t>
      </w:r>
      <w:r w:rsidR="00553FB6" w:rsidRPr="002849A4">
        <w:rPr>
          <w:b/>
          <w:smallCaps/>
        </w:rPr>
        <w:t xml:space="preserve"> Second Circuit’s Interpretation of the</w:t>
      </w:r>
      <w:r w:rsidRPr="002849A4">
        <w:rPr>
          <w:b/>
          <w:smallCaps/>
        </w:rPr>
        <w:t xml:space="preserve"> § 101(2) Writing Requirement </w:t>
      </w:r>
      <w:r w:rsidR="00972CDC" w:rsidRPr="002849A4">
        <w:rPr>
          <w:b/>
          <w:smallCaps/>
        </w:rPr>
        <w:t xml:space="preserve">is the Correct Interpretation that the Court Should Adopt </w:t>
      </w:r>
    </w:p>
    <w:p w14:paraId="29880FEB" w14:textId="77777777" w:rsidR="00526630" w:rsidRPr="00526630" w:rsidRDefault="00526630" w:rsidP="00526630">
      <w:pPr>
        <w:widowControl/>
        <w:rPr>
          <w:b/>
        </w:rPr>
      </w:pPr>
    </w:p>
    <w:p w14:paraId="63D762F1" w14:textId="77777777" w:rsidR="00D62382" w:rsidRDefault="00972CDC" w:rsidP="003B6761">
      <w:pPr>
        <w:widowControl/>
        <w:spacing w:line="480" w:lineRule="auto"/>
        <w:ind w:firstLine="720"/>
      </w:pPr>
      <w:r>
        <w:t>The plain language and legislative history both indicate that the § 101(2) writing may be signed either before or after the creation of a commission</w:t>
      </w:r>
      <w:r w:rsidR="00E63E11">
        <w:t>ed</w:t>
      </w:r>
      <w:r>
        <w:t xml:space="preserve"> work, and the </w:t>
      </w:r>
      <w:r w:rsidR="00E63E11">
        <w:t xml:space="preserve">relevant </w:t>
      </w:r>
      <w:r>
        <w:t>case law on this issue pr</w:t>
      </w:r>
      <w:r w:rsidR="00586944">
        <w:t xml:space="preserve">ovides further support for this conclusion.  There is currently a </w:t>
      </w:r>
      <w:r w:rsidR="00526630">
        <w:t xml:space="preserve">Circuit </w:t>
      </w:r>
      <w:r w:rsidR="00AB0AF3">
        <w:t xml:space="preserve">Court </w:t>
      </w:r>
      <w:r w:rsidR="00526630">
        <w:t xml:space="preserve">split on when the </w:t>
      </w:r>
      <w:r w:rsidR="003B6761">
        <w:t xml:space="preserve">writing </w:t>
      </w:r>
      <w:r w:rsidR="00526630">
        <w:t>must be signed.  Courts from the F</w:t>
      </w:r>
      <w:r w:rsidR="003B6761">
        <w:t xml:space="preserve">irst, Second, and Fifth Circuit </w:t>
      </w:r>
      <w:r w:rsidR="00526630">
        <w:t xml:space="preserve">have </w:t>
      </w:r>
      <w:r>
        <w:t xml:space="preserve">concluded </w:t>
      </w:r>
      <w:r w:rsidR="00526630">
        <w:t>that the writi</w:t>
      </w:r>
      <w:r w:rsidR="00E5630D">
        <w:t>ng can be signed after the work’s creation</w:t>
      </w:r>
      <w:r w:rsidR="00526630">
        <w:t xml:space="preserve">.  </w:t>
      </w:r>
      <w:r w:rsidR="00526630" w:rsidRPr="004A213F">
        <w:rPr>
          <w:i/>
        </w:rPr>
        <w:t>Playboy Enter., Inc. v. Dumas,</w:t>
      </w:r>
      <w:r w:rsidR="007231EF">
        <w:t xml:space="preserve"> 53 F.3d 549 (2d Cir. 1995); </w:t>
      </w:r>
      <w:r w:rsidR="00526630">
        <w:rPr>
          <w:i/>
        </w:rPr>
        <w:t xml:space="preserve">TMTV </w:t>
      </w:r>
      <w:r w:rsidR="00526630" w:rsidRPr="004A213F">
        <w:rPr>
          <w:i/>
        </w:rPr>
        <w:t>Corp. v. Mass Prod., Inc.,</w:t>
      </w:r>
      <w:r w:rsidR="0091452F">
        <w:t xml:space="preserve"> 645 F.3d 464 (1st Cir. 2011);</w:t>
      </w:r>
      <w:r w:rsidR="00526630" w:rsidRPr="004A213F">
        <w:t xml:space="preserve"> </w:t>
      </w:r>
      <w:r w:rsidR="00526630" w:rsidRPr="004A213F">
        <w:rPr>
          <w:i/>
        </w:rPr>
        <w:t>Compaq Computer Corp. v. Ergonome, Inc.,</w:t>
      </w:r>
      <w:r w:rsidR="00526630" w:rsidRPr="004A213F">
        <w:t xml:space="preserve"> 10 F.Supp.2d 839 (S.D. Tex. 2001).</w:t>
      </w:r>
      <w:r w:rsidR="007F53E2">
        <w:t xml:space="preserve">  </w:t>
      </w:r>
      <w:r w:rsidR="00E63E11">
        <w:t xml:space="preserve">In contrast, </w:t>
      </w:r>
      <w:r w:rsidR="007231EF">
        <w:t>t</w:t>
      </w:r>
      <w:r w:rsidR="007F53E2">
        <w:t xml:space="preserve">he Seventh Circuit has </w:t>
      </w:r>
      <w:r w:rsidR="00E63E11">
        <w:t>stated</w:t>
      </w:r>
      <w:r w:rsidR="007F53E2">
        <w:t xml:space="preserve"> that the writing must be signed before a commissioned work is created. </w:t>
      </w:r>
      <w:r w:rsidR="007F53E2" w:rsidRPr="007F53E2">
        <w:rPr>
          <w:i/>
        </w:rPr>
        <w:t>Schiller &amp; Schmidt, Inc. v. Nordisco Corp.,</w:t>
      </w:r>
      <w:r w:rsidR="007F53E2">
        <w:t xml:space="preserve"> 969 F.2d 410 (7th Cir. 1992). </w:t>
      </w:r>
    </w:p>
    <w:p w14:paraId="58FB96B5" w14:textId="77777777" w:rsidR="00972CDC" w:rsidRDefault="00972CDC" w:rsidP="00972CDC">
      <w:pPr>
        <w:widowControl/>
        <w:numPr>
          <w:ilvl w:val="0"/>
          <w:numId w:val="7"/>
        </w:numPr>
        <w:rPr>
          <w:b/>
        </w:rPr>
      </w:pPr>
      <w:r w:rsidRPr="00972CDC">
        <w:rPr>
          <w:b/>
        </w:rPr>
        <w:t xml:space="preserve">The </w:t>
      </w:r>
      <w:r w:rsidR="004B0962">
        <w:rPr>
          <w:b/>
        </w:rPr>
        <w:t>Court Should Adopt the Holdings of</w:t>
      </w:r>
      <w:r w:rsidRPr="00972CDC">
        <w:rPr>
          <w:b/>
        </w:rPr>
        <w:t xml:space="preserve"> </w:t>
      </w:r>
      <w:r w:rsidRPr="004F2B89">
        <w:rPr>
          <w:b/>
          <w:i/>
        </w:rPr>
        <w:t>Dumas</w:t>
      </w:r>
      <w:r w:rsidRPr="00972CDC">
        <w:rPr>
          <w:b/>
        </w:rPr>
        <w:t xml:space="preserve"> and </w:t>
      </w:r>
      <w:r w:rsidRPr="004F2B89">
        <w:rPr>
          <w:b/>
          <w:i/>
        </w:rPr>
        <w:t>TMTV</w:t>
      </w:r>
      <w:r w:rsidR="004B0962">
        <w:rPr>
          <w:b/>
        </w:rPr>
        <w:t xml:space="preserve"> that</w:t>
      </w:r>
      <w:r w:rsidRPr="00972CDC">
        <w:rPr>
          <w:b/>
        </w:rPr>
        <w:t xml:space="preserve"> the § 101(2) Writing Can be Signed Before or After the Creation of the Commissioned Work</w:t>
      </w:r>
      <w:r w:rsidR="003432ED">
        <w:rPr>
          <w:b/>
        </w:rPr>
        <w:t>.</w:t>
      </w:r>
      <w:r w:rsidRPr="00972CDC">
        <w:rPr>
          <w:b/>
        </w:rPr>
        <w:t xml:space="preserve"> </w:t>
      </w:r>
    </w:p>
    <w:p w14:paraId="46D191D1" w14:textId="77777777" w:rsidR="00972CDC" w:rsidRPr="00972CDC" w:rsidRDefault="00972CDC" w:rsidP="00972CDC">
      <w:pPr>
        <w:widowControl/>
        <w:ind w:left="1080"/>
        <w:rPr>
          <w:b/>
        </w:rPr>
      </w:pPr>
    </w:p>
    <w:p w14:paraId="70D3E6A0" w14:textId="77777777" w:rsidR="00526630" w:rsidRDefault="00D62382" w:rsidP="00080DF6">
      <w:pPr>
        <w:widowControl/>
        <w:spacing w:line="480" w:lineRule="auto"/>
        <w:ind w:firstLine="720"/>
      </w:pPr>
      <w:r>
        <w:t xml:space="preserve">In </w:t>
      </w:r>
      <w:r w:rsidR="00EF6E19">
        <w:rPr>
          <w:i/>
        </w:rPr>
        <w:t>Dumas</w:t>
      </w:r>
      <w:r>
        <w:t>,</w:t>
      </w:r>
      <w:r w:rsidR="003E5277">
        <w:t xml:space="preserve"> the parties had a long-sta</w:t>
      </w:r>
      <w:r w:rsidR="00E83B69">
        <w:t>nding agreement whereby Nagel</w:t>
      </w:r>
      <w:r w:rsidR="00080DF6">
        <w:t>, a painter,</w:t>
      </w:r>
      <w:r w:rsidR="00610F2E">
        <w:t xml:space="preserve"> created paintings </w:t>
      </w:r>
      <w:r w:rsidR="004B0962">
        <w:t>that would be</w:t>
      </w:r>
      <w:r w:rsidR="00610F2E">
        <w:t xml:space="preserve"> published in </w:t>
      </w:r>
      <w:r w:rsidR="00610F2E" w:rsidRPr="00610F2E">
        <w:rPr>
          <w:i/>
        </w:rPr>
        <w:t>Playboy</w:t>
      </w:r>
      <w:r w:rsidR="00D40B67">
        <w:t xml:space="preserve"> magazine.  The work-for-hire agreement </w:t>
      </w:r>
      <w:r w:rsidR="00610F2E">
        <w:t>was included on the back of the checks issued to Nagel, wh</w:t>
      </w:r>
      <w:r w:rsidR="004B0962">
        <w:t xml:space="preserve">ich were signed by both parties after the </w:t>
      </w:r>
      <w:r w:rsidR="004B0962">
        <w:lastRenderedPageBreak/>
        <w:t xml:space="preserve">paintings were completed.  </w:t>
      </w:r>
      <w:r w:rsidR="00610F2E">
        <w:t xml:space="preserve">The court concluded that the </w:t>
      </w:r>
      <w:r w:rsidR="00C0703E">
        <w:t xml:space="preserve">parties’ ongoing conduct and the signed </w:t>
      </w:r>
      <w:r w:rsidR="00610F2E">
        <w:t>check</w:t>
      </w:r>
      <w:r w:rsidR="004B0962">
        <w:t xml:space="preserve">s were sufficient to establish a work-for-hire agreement, </w:t>
      </w:r>
      <w:r w:rsidR="00610F2E">
        <w:t xml:space="preserve">holding that </w:t>
      </w:r>
      <w:r>
        <w:t>“the writing requirement of § 101(2) can be met by a writing executed after the work is cre</w:t>
      </w:r>
      <w:r w:rsidR="003B6761">
        <w:t>a</w:t>
      </w:r>
      <w:r>
        <w:t xml:space="preserve">ted, if the writing confirms a prior agreement, either explicit or implicit, made before the creation of the work.”  </w:t>
      </w:r>
      <w:r w:rsidR="003E5277">
        <w:rPr>
          <w:i/>
        </w:rPr>
        <w:t>Dumas</w:t>
      </w:r>
      <w:r w:rsidR="003E5277">
        <w:t>, 53 F.3d at 559.</w:t>
      </w:r>
      <w:r w:rsidR="00D40B67">
        <w:t xml:space="preserve">  </w:t>
      </w:r>
      <w:r w:rsidR="00EF6E19">
        <w:t>While</w:t>
      </w:r>
      <w:r>
        <w:t xml:space="preserve"> </w:t>
      </w:r>
      <w:r w:rsidR="00EF6E19">
        <w:rPr>
          <w:i/>
        </w:rPr>
        <w:t>Dumas</w:t>
      </w:r>
      <w:r>
        <w:t xml:space="preserve"> is disting</w:t>
      </w:r>
      <w:r w:rsidR="003B6761">
        <w:t xml:space="preserve">uishable because the parties </w:t>
      </w:r>
      <w:r>
        <w:t>had an</w:t>
      </w:r>
      <w:r w:rsidR="003B6761">
        <w:t xml:space="preserve"> ongoing</w:t>
      </w:r>
      <w:r>
        <w:t xml:space="preserve"> relationship, the court’s </w:t>
      </w:r>
      <w:r w:rsidR="0028732A">
        <w:t xml:space="preserve">holding is relevant to </w:t>
      </w:r>
      <w:r w:rsidR="003E5277">
        <w:t>the issue in this case</w:t>
      </w:r>
      <w:r>
        <w:t xml:space="preserve">.  Although </w:t>
      </w:r>
      <w:r w:rsidR="003B6761">
        <w:t>OGS</w:t>
      </w:r>
      <w:r>
        <w:t xml:space="preserve"> and </w:t>
      </w:r>
      <w:r w:rsidR="00AB0AF3">
        <w:t>Lime</w:t>
      </w:r>
      <w:r>
        <w:t xml:space="preserve"> did not sign a written agreement until after the work was created, the writing confirmed the </w:t>
      </w:r>
      <w:r w:rsidRPr="00E83B69">
        <w:rPr>
          <w:i/>
        </w:rPr>
        <w:t>explicit</w:t>
      </w:r>
      <w:r>
        <w:t xml:space="preserve"> oral agreement made during the March 27, 2</w:t>
      </w:r>
      <w:r w:rsidR="00C0703E">
        <w:t xml:space="preserve">010 meeting. (Compl. at ¶ 18.)  In </w:t>
      </w:r>
      <w:r w:rsidR="00C0703E" w:rsidRPr="00E83B69">
        <w:rPr>
          <w:i/>
        </w:rPr>
        <w:t>Dumas</w:t>
      </w:r>
      <w:r w:rsidR="00C0703E">
        <w:t xml:space="preserve">, the court upheld the work-for-hire agreement based on the parties’ conduct that </w:t>
      </w:r>
      <w:r w:rsidR="00C0703E" w:rsidRPr="007231EF">
        <w:rPr>
          <w:i/>
        </w:rPr>
        <w:t>implicitly</w:t>
      </w:r>
      <w:r w:rsidR="00C0703E">
        <w:t xml:space="preserve"> indicated their agreement to such a relationship.  </w:t>
      </w:r>
      <w:r w:rsidR="00D31D39">
        <w:t xml:space="preserve">OGS, therefore, has an even stronger claim that the agreement should be upheld because of the </w:t>
      </w:r>
      <w:r w:rsidR="00C0703E" w:rsidRPr="00080DF6">
        <w:rPr>
          <w:i/>
        </w:rPr>
        <w:t>explicit</w:t>
      </w:r>
      <w:r w:rsidR="00C0703E">
        <w:t xml:space="preserve"> </w:t>
      </w:r>
      <w:r w:rsidR="00D31D39">
        <w:t xml:space="preserve">and </w:t>
      </w:r>
      <w:r w:rsidR="00D31D39" w:rsidRPr="00080DF6">
        <w:rPr>
          <w:i/>
        </w:rPr>
        <w:t>uncontested</w:t>
      </w:r>
      <w:r w:rsidR="00D31D39">
        <w:t xml:space="preserve"> </w:t>
      </w:r>
      <w:r w:rsidR="00C0703E">
        <w:t xml:space="preserve">oral agreement made by the parties prior to the screenplay’s creation.  </w:t>
      </w:r>
      <w:r>
        <w:t xml:space="preserve"> </w:t>
      </w:r>
      <w:r w:rsidR="00C0703E">
        <w:t xml:space="preserve">In both </w:t>
      </w:r>
      <w:r w:rsidR="00C0703E" w:rsidRPr="00C0703E">
        <w:rPr>
          <w:i/>
        </w:rPr>
        <w:t>Dumas</w:t>
      </w:r>
      <w:r w:rsidR="00C0703E">
        <w:t xml:space="preserve"> and the present case, </w:t>
      </w:r>
      <w:r w:rsidR="007E49CF">
        <w:t>each party</w:t>
      </w:r>
      <w:r>
        <w:t xml:space="preserve"> understood and agreed</w:t>
      </w:r>
      <w:r w:rsidR="007231EF">
        <w:t xml:space="preserve">, explicitly or implicitly, </w:t>
      </w:r>
      <w:r w:rsidRPr="0028732A">
        <w:rPr>
          <w:i/>
        </w:rPr>
        <w:t>prior</w:t>
      </w:r>
      <w:r>
        <w:t xml:space="preserve"> to the</w:t>
      </w:r>
      <w:r w:rsidR="00080DF6">
        <w:t xml:space="preserve"> work’s</w:t>
      </w:r>
      <w:r>
        <w:t xml:space="preserve"> creation that the work was made-for-hire. </w:t>
      </w:r>
    </w:p>
    <w:p w14:paraId="0C4370F4" w14:textId="77777777" w:rsidR="00972CDC" w:rsidRDefault="00D62382" w:rsidP="00D62382">
      <w:pPr>
        <w:widowControl/>
        <w:spacing w:line="480" w:lineRule="auto"/>
      </w:pPr>
      <w:r>
        <w:tab/>
        <w:t xml:space="preserve">The facts of </w:t>
      </w:r>
      <w:r w:rsidRPr="003B6761">
        <w:rPr>
          <w:i/>
        </w:rPr>
        <w:t xml:space="preserve">TMTV </w:t>
      </w:r>
      <w:r w:rsidR="00314315" w:rsidRPr="003B6761">
        <w:rPr>
          <w:i/>
        </w:rPr>
        <w:t>Corp</w:t>
      </w:r>
      <w:r w:rsidR="00314315">
        <w:t xml:space="preserve">. are </w:t>
      </w:r>
      <w:r w:rsidR="00D40B67">
        <w:t xml:space="preserve">also </w:t>
      </w:r>
      <w:r w:rsidR="00D25292">
        <w:t xml:space="preserve">on point.   </w:t>
      </w:r>
      <w:r w:rsidR="00314315">
        <w:t xml:space="preserve">A television producer and owner of TMTV entered into an agreement with two </w:t>
      </w:r>
      <w:r w:rsidR="00171561">
        <w:t>entertainers</w:t>
      </w:r>
      <w:r w:rsidR="00314315">
        <w:t>, Log</w:t>
      </w:r>
      <w:r w:rsidR="003B6761">
        <w:t>r</w:t>
      </w:r>
      <w:r w:rsidR="00314315">
        <w:t xml:space="preserve">ono and Chacon, to host a variety show.  Logrono asked </w:t>
      </w:r>
      <w:r w:rsidR="00E133AD">
        <w:t xml:space="preserve">two </w:t>
      </w:r>
      <w:r w:rsidR="00314315">
        <w:t xml:space="preserve">scriptwriters </w:t>
      </w:r>
      <w:r w:rsidR="00E133AD">
        <w:t>to</w:t>
      </w:r>
      <w:r w:rsidR="00314315">
        <w:t xml:space="preserve"> w</w:t>
      </w:r>
      <w:r w:rsidR="00AB0AF3">
        <w:t>rite three episodes</w:t>
      </w:r>
      <w:r w:rsidR="00314315">
        <w:t xml:space="preserve"> and </w:t>
      </w:r>
      <w:r w:rsidR="00257B53">
        <w:t>after the</w:t>
      </w:r>
      <w:r w:rsidR="0028732A">
        <w:t xml:space="preserve"> scripts were finished </w:t>
      </w:r>
      <w:r w:rsidR="00257B53">
        <w:t>both writers signed a docume</w:t>
      </w:r>
      <w:r w:rsidR="00314315">
        <w:t xml:space="preserve">nt </w:t>
      </w:r>
      <w:r w:rsidR="0028732A">
        <w:t>confirming</w:t>
      </w:r>
      <w:r w:rsidR="00314315">
        <w:t xml:space="preserve"> </w:t>
      </w:r>
      <w:r w:rsidR="00AB0AF3">
        <w:t>a</w:t>
      </w:r>
      <w:r w:rsidR="00314315">
        <w:t xml:space="preserve"> pre-existing agreement that the scripts were works-for-hire commissioned by TMTV.  </w:t>
      </w:r>
      <w:r w:rsidR="00314315" w:rsidRPr="00257B53">
        <w:rPr>
          <w:i/>
        </w:rPr>
        <w:t>TMTV Corp. v. Mass Prod., Inc.</w:t>
      </w:r>
      <w:r w:rsidR="00314315">
        <w:t xml:space="preserve"> 345 F.Supp.2d 196, 200 (D.P.R. 2004).  </w:t>
      </w:r>
      <w:r w:rsidR="00A720D7">
        <w:t xml:space="preserve">After leaving for a rival television station, Logrono </w:t>
      </w:r>
      <w:r w:rsidR="00257B53">
        <w:t>starr</w:t>
      </w:r>
      <w:r w:rsidR="00314315">
        <w:t xml:space="preserve">ed in a sitcom </w:t>
      </w:r>
      <w:r w:rsidR="0028732A">
        <w:t>featuring</w:t>
      </w:r>
      <w:r w:rsidR="00314315">
        <w:t xml:space="preserve"> </w:t>
      </w:r>
      <w:r w:rsidR="00F81C65">
        <w:t xml:space="preserve">a similar setting and characters </w:t>
      </w:r>
      <w:r w:rsidR="00E133AD">
        <w:t xml:space="preserve">as the TMTV series.  TMTV sued Logrono for </w:t>
      </w:r>
      <w:r w:rsidR="0028732A">
        <w:t xml:space="preserve">copyright infringement.  </w:t>
      </w:r>
      <w:r w:rsidR="00314315">
        <w:t xml:space="preserve">Logrono counterclaimed that </w:t>
      </w:r>
      <w:r w:rsidR="003B6761">
        <w:t>the work-for-hire agreement</w:t>
      </w:r>
      <w:r w:rsidR="00BD5B63">
        <w:t xml:space="preserve"> was invalid</w:t>
      </w:r>
      <w:r w:rsidR="003B6761">
        <w:t xml:space="preserve"> because it was signed after the works were completed</w:t>
      </w:r>
      <w:r w:rsidR="00A720D7">
        <w:t>.  The Court of Appeals</w:t>
      </w:r>
      <w:r w:rsidR="00314315">
        <w:t xml:space="preserve"> </w:t>
      </w:r>
      <w:r>
        <w:t xml:space="preserve">upheld the District Court’s </w:t>
      </w:r>
      <w:r w:rsidR="007231EF">
        <w:t>ruling</w:t>
      </w:r>
      <w:r>
        <w:t xml:space="preserve"> that “a valid contract recognizing and reaffirming work for hire </w:t>
      </w:r>
      <w:r w:rsidR="00E133AD">
        <w:t>status</w:t>
      </w:r>
      <w:r>
        <w:t xml:space="preserve"> may be sig</w:t>
      </w:r>
      <w:r w:rsidR="00314315">
        <w:t xml:space="preserve">ned after the work is </w:t>
      </w:r>
      <w:r w:rsidR="00314315">
        <w:lastRenderedPageBreak/>
        <w:t>produced.</w:t>
      </w:r>
      <w:r w:rsidR="0028732A">
        <w:t>”</w:t>
      </w:r>
      <w:r w:rsidR="00314315">
        <w:t xml:space="preserve"> </w:t>
      </w:r>
      <w:r w:rsidR="00314315" w:rsidRPr="00314315">
        <w:rPr>
          <w:i/>
        </w:rPr>
        <w:t>Id</w:t>
      </w:r>
      <w:r w:rsidR="00314315">
        <w:t xml:space="preserve">. at 206.  Just as Lime does not </w:t>
      </w:r>
      <w:r w:rsidR="003B6761">
        <w:t xml:space="preserve">deny the existence of </w:t>
      </w:r>
      <w:r w:rsidR="00314315">
        <w:t>the original oral agreement, both scriptwriters in</w:t>
      </w:r>
      <w:r w:rsidR="003B6761">
        <w:t xml:space="preserve"> </w:t>
      </w:r>
      <w:r w:rsidR="003B6761" w:rsidRPr="00AB0AF3">
        <w:rPr>
          <w:i/>
        </w:rPr>
        <w:t>TMTV</w:t>
      </w:r>
      <w:r w:rsidR="003B6761">
        <w:t xml:space="preserve"> confirmed they understood, </w:t>
      </w:r>
      <w:r w:rsidR="00AB0AF3">
        <w:t xml:space="preserve">prior to writing the scripts, </w:t>
      </w:r>
      <w:r w:rsidR="003B6761">
        <w:t>that the works were made-for-hire</w:t>
      </w:r>
      <w:r w:rsidR="00314315">
        <w:t xml:space="preserve">. </w:t>
      </w:r>
      <w:r w:rsidR="00314315" w:rsidRPr="00314315">
        <w:rPr>
          <w:i/>
        </w:rPr>
        <w:t xml:space="preserve"> Id</w:t>
      </w:r>
      <w:r w:rsidR="00314315">
        <w:t>. at 207.</w:t>
      </w:r>
    </w:p>
    <w:p w14:paraId="1250F89D" w14:textId="77777777" w:rsidR="002849A4" w:rsidRDefault="002849A4" w:rsidP="002849A4">
      <w:pPr>
        <w:widowControl/>
        <w:numPr>
          <w:ilvl w:val="0"/>
          <w:numId w:val="7"/>
        </w:numPr>
        <w:rPr>
          <w:b/>
        </w:rPr>
      </w:pPr>
      <w:r w:rsidRPr="007468EF">
        <w:rPr>
          <w:b/>
        </w:rPr>
        <w:t>T</w:t>
      </w:r>
      <w:r>
        <w:rPr>
          <w:b/>
        </w:rPr>
        <w:t xml:space="preserve">he Court Should Adopt the Second Circuit’s Interpretation of § 101(2) Because </w:t>
      </w:r>
      <w:r w:rsidR="00CE5B08">
        <w:rPr>
          <w:b/>
        </w:rPr>
        <w:t xml:space="preserve">it Supports Congress’s Intent. </w:t>
      </w:r>
      <w:r>
        <w:rPr>
          <w:b/>
        </w:rPr>
        <w:t xml:space="preserve">  </w:t>
      </w:r>
    </w:p>
    <w:p w14:paraId="475E6CD0" w14:textId="77777777" w:rsidR="002849A4" w:rsidRPr="007468EF" w:rsidRDefault="002849A4" w:rsidP="002849A4">
      <w:pPr>
        <w:widowControl/>
        <w:ind w:left="1080"/>
        <w:rPr>
          <w:b/>
        </w:rPr>
      </w:pPr>
    </w:p>
    <w:p w14:paraId="0C812FDF" w14:textId="77777777" w:rsidR="002849A4" w:rsidRDefault="002849A4" w:rsidP="002849A4">
      <w:pPr>
        <w:widowControl/>
        <w:spacing w:line="480" w:lineRule="auto"/>
        <w:ind w:firstLine="720"/>
      </w:pPr>
      <w:r>
        <w:t xml:space="preserve">The Second Circuit’s interpretation of the § 101(2) writing requirement should be given greater weight than the Seventh Circuit’s interpretation in </w:t>
      </w:r>
      <w:r w:rsidRPr="007468EF">
        <w:rPr>
          <w:i/>
        </w:rPr>
        <w:t>Schiller</w:t>
      </w:r>
      <w:r>
        <w:rPr>
          <w:i/>
        </w:rPr>
        <w:t xml:space="preserve">.  </w:t>
      </w:r>
      <w:r>
        <w:t xml:space="preserve">The Second Circuit has been referred to as the “de facto Copyright Court of the United States,” and thus is a more authoritative source on the Copyright Act.  </w:t>
      </w:r>
      <w:r w:rsidRPr="00C2006F">
        <w:rPr>
          <w:i/>
        </w:rPr>
        <w:t>Easter Seal Soc. v. Playboy Enter., Inc</w:t>
      </w:r>
      <w:r>
        <w:t xml:space="preserve">., 815 F.2d 323, 325 (5th Cir. 1987).  In addition, the Second Circuit’s interpretation is supported by the legislative history.   Following the </w:t>
      </w:r>
      <w:r w:rsidRPr="00163ECD">
        <w:rPr>
          <w:i/>
        </w:rPr>
        <w:t>Schiller</w:t>
      </w:r>
      <w:r>
        <w:t xml:space="preserve"> court’s interpretation would not further Congress’s goals and would only create unnecessary obstacles and frustrations for equally sophisticated parties who enter into a mutually understood oral agreement that is later formalized in writing. </w:t>
      </w:r>
    </w:p>
    <w:p w14:paraId="53163C5A" w14:textId="77777777" w:rsidR="00D62382" w:rsidRDefault="00972CDC" w:rsidP="002849A4">
      <w:pPr>
        <w:widowControl/>
        <w:numPr>
          <w:ilvl w:val="0"/>
          <w:numId w:val="7"/>
        </w:numPr>
        <w:rPr>
          <w:b/>
        </w:rPr>
      </w:pPr>
      <w:r w:rsidRPr="007468EF">
        <w:rPr>
          <w:b/>
        </w:rPr>
        <w:t xml:space="preserve">The </w:t>
      </w:r>
      <w:r w:rsidR="007468EF">
        <w:rPr>
          <w:b/>
        </w:rPr>
        <w:t xml:space="preserve">Court Should Reject the </w:t>
      </w:r>
      <w:r w:rsidRPr="007468EF">
        <w:rPr>
          <w:b/>
        </w:rPr>
        <w:t xml:space="preserve">Seventh Circuit’s Conclusion that the § 101(2) Writing Must be Signed Before the Creation of the Commissioned </w:t>
      </w:r>
      <w:r w:rsidR="007468EF">
        <w:rPr>
          <w:b/>
        </w:rPr>
        <w:t>Work.</w:t>
      </w:r>
    </w:p>
    <w:p w14:paraId="17162755" w14:textId="77777777" w:rsidR="007468EF" w:rsidRPr="007468EF" w:rsidRDefault="007468EF" w:rsidP="007468EF">
      <w:pPr>
        <w:widowControl/>
        <w:ind w:left="1080"/>
        <w:rPr>
          <w:b/>
        </w:rPr>
      </w:pPr>
    </w:p>
    <w:p w14:paraId="47EFAB2A" w14:textId="77777777" w:rsidR="00AB0AF3" w:rsidRDefault="00AD3488" w:rsidP="00D62382">
      <w:pPr>
        <w:widowControl/>
        <w:spacing w:line="480" w:lineRule="auto"/>
      </w:pPr>
      <w:r>
        <w:tab/>
      </w:r>
      <w:r w:rsidR="007468EF">
        <w:t xml:space="preserve">The Court should reject the Seventh Circuit’s conclusion in </w:t>
      </w:r>
      <w:r w:rsidRPr="003B6761">
        <w:rPr>
          <w:i/>
        </w:rPr>
        <w:t>Schiller</w:t>
      </w:r>
      <w:r w:rsidR="007468EF">
        <w:rPr>
          <w:i/>
        </w:rPr>
        <w:t xml:space="preserve"> </w:t>
      </w:r>
      <w:r>
        <w:t xml:space="preserve">that the “writing must precede the creation of the property in order to serve its purpose of identifying the (noncreator) owner unequivocally.” </w:t>
      </w:r>
      <w:r w:rsidR="007468EF">
        <w:t xml:space="preserve"> </w:t>
      </w:r>
      <w:r w:rsidR="007468EF" w:rsidRPr="007468EF">
        <w:rPr>
          <w:i/>
        </w:rPr>
        <w:t>Schiller</w:t>
      </w:r>
      <w:r w:rsidR="007468EF">
        <w:t xml:space="preserve">, 969 F.2d at 413.  </w:t>
      </w:r>
      <w:r w:rsidR="007E49CF">
        <w:t xml:space="preserve">This </w:t>
      </w:r>
      <w:r>
        <w:t>statement was dicta</w:t>
      </w:r>
      <w:r w:rsidR="007231EF">
        <w:t>, not the primary holding of the case,</w:t>
      </w:r>
      <w:r w:rsidR="00EA1258">
        <w:t xml:space="preserve"> and</w:t>
      </w:r>
      <w:r w:rsidR="007E49CF">
        <w:t xml:space="preserve"> therefore is less </w:t>
      </w:r>
      <w:r w:rsidR="00080DF6">
        <w:t>influential</w:t>
      </w:r>
      <w:r w:rsidR="00D40B67">
        <w:t xml:space="preserve"> than the holdings of the First and Second Circuit.  </w:t>
      </w:r>
      <w:r>
        <w:t xml:space="preserve">The primary reason </w:t>
      </w:r>
      <w:r w:rsidR="00BD5B63">
        <w:t xml:space="preserve">the court concluded the work-for-hire agreement was </w:t>
      </w:r>
      <w:r w:rsidR="00163ECD">
        <w:t xml:space="preserve">invalid </w:t>
      </w:r>
      <w:r>
        <w:t xml:space="preserve">was </w:t>
      </w:r>
      <w:r w:rsidR="00E133AD">
        <w:t>because</w:t>
      </w:r>
      <w:r>
        <w:t xml:space="preserve"> of other deficiencies</w:t>
      </w:r>
      <w:r w:rsidR="00D31D39">
        <w:t xml:space="preserve"> in the agreement</w:t>
      </w:r>
      <w:r>
        <w:t xml:space="preserve">.  The agreement did not include the explicit language “work-made-for-hire,” the writing was only signed by </w:t>
      </w:r>
      <w:r w:rsidRPr="00BD5B63">
        <w:rPr>
          <w:i/>
        </w:rPr>
        <w:t>one</w:t>
      </w:r>
      <w:r w:rsidR="00BD5B63">
        <w:rPr>
          <w:i/>
        </w:rPr>
        <w:t xml:space="preserve"> </w:t>
      </w:r>
      <w:r w:rsidR="00BD5B63">
        <w:t xml:space="preserve">of the </w:t>
      </w:r>
      <w:r>
        <w:t xml:space="preserve">parties, and the writing was not signed until litigation </w:t>
      </w:r>
      <w:r w:rsidR="00A720D7">
        <w:t>had</w:t>
      </w:r>
      <w:r>
        <w:t xml:space="preserve"> commenced, more than five years after the works </w:t>
      </w:r>
      <w:r w:rsidR="00011F08">
        <w:t xml:space="preserve">were created.  </w:t>
      </w:r>
      <w:r w:rsidR="00011F08" w:rsidRPr="00011F08">
        <w:rPr>
          <w:i/>
        </w:rPr>
        <w:t>Id</w:t>
      </w:r>
      <w:r w:rsidR="00011F08">
        <w:t xml:space="preserve">. at 412.  Therefore, even if the writing had been signed </w:t>
      </w:r>
      <w:r w:rsidR="00A720D7">
        <w:t>before</w:t>
      </w:r>
      <w:r w:rsidR="00011F08">
        <w:t xml:space="preserve"> the work’s </w:t>
      </w:r>
      <w:r w:rsidR="00011F08">
        <w:lastRenderedPageBreak/>
        <w:t>creation, it</w:t>
      </w:r>
      <w:r w:rsidR="007231EF">
        <w:t xml:space="preserve"> nevertheless</w:t>
      </w:r>
      <w:r w:rsidR="00011F08">
        <w:t xml:space="preserve"> would </w:t>
      </w:r>
      <w:r w:rsidR="00163ECD">
        <w:t xml:space="preserve">have been invalid </w:t>
      </w:r>
      <w:r w:rsidR="00011F08">
        <w:t xml:space="preserve">because the </w:t>
      </w:r>
      <w:r w:rsidR="007E49CF">
        <w:t xml:space="preserve">statutory language </w:t>
      </w:r>
      <w:r w:rsidR="00011F08">
        <w:t xml:space="preserve">on this issue is clear: the writing must be “signed by them,” with </w:t>
      </w:r>
      <w:r w:rsidR="00163ECD">
        <w:t>“</w:t>
      </w:r>
      <w:r w:rsidR="00011F08">
        <w:t>them</w:t>
      </w:r>
      <w:r w:rsidR="00163ECD">
        <w:t>”</w:t>
      </w:r>
      <w:r w:rsidR="00011F08">
        <w:t xml:space="preserve"> meaning </w:t>
      </w:r>
      <w:r w:rsidR="00011F08" w:rsidRPr="00163ECD">
        <w:rPr>
          <w:i/>
        </w:rPr>
        <w:t>both</w:t>
      </w:r>
      <w:r w:rsidR="00BD5B63">
        <w:t xml:space="preserve"> parties. </w:t>
      </w:r>
      <w:r w:rsidR="00011F08">
        <w:t>§ 101(2).</w:t>
      </w:r>
      <w:r w:rsidR="007E49CF">
        <w:t xml:space="preserve"> </w:t>
      </w:r>
      <w:r w:rsidR="00011F08">
        <w:t xml:space="preserve"> </w:t>
      </w:r>
      <w:r w:rsidRPr="00163ECD">
        <w:rPr>
          <w:i/>
        </w:rPr>
        <w:t>Schiller</w:t>
      </w:r>
      <w:r>
        <w:t xml:space="preserve">, therefore, is </w:t>
      </w:r>
      <w:r w:rsidR="00D40B67">
        <w:t xml:space="preserve">easily distinguishable from </w:t>
      </w:r>
      <w:r w:rsidR="007231EF">
        <w:t>the present</w:t>
      </w:r>
      <w:r w:rsidR="00D40B67">
        <w:t xml:space="preserve"> case</w:t>
      </w:r>
      <w:r w:rsidR="00BD5B63">
        <w:t xml:space="preserve">. </w:t>
      </w:r>
      <w:r>
        <w:t xml:space="preserve"> Both OGS and Lime signed the written a</w:t>
      </w:r>
      <w:r w:rsidR="00BD5B63">
        <w:t>greement shortly after the work’s completion</w:t>
      </w:r>
      <w:r>
        <w:t xml:space="preserve">, the writing </w:t>
      </w:r>
      <w:r w:rsidR="007E49CF">
        <w:t>confirmed</w:t>
      </w:r>
      <w:r w:rsidR="00D40B67">
        <w:t xml:space="preserve"> a prior oral agreement, </w:t>
      </w:r>
      <w:r w:rsidR="00BD5B63">
        <w:t xml:space="preserve">and it </w:t>
      </w:r>
      <w:r>
        <w:t xml:space="preserve">included the necessary “work-made-for-hire” language.  Although the </w:t>
      </w:r>
      <w:r w:rsidRPr="00163ECD">
        <w:rPr>
          <w:i/>
        </w:rPr>
        <w:t>Schiller</w:t>
      </w:r>
      <w:r>
        <w:t xml:space="preserve"> court reasons t</w:t>
      </w:r>
      <w:r w:rsidR="00D25292">
        <w:t>hat the writing requirement is</w:t>
      </w:r>
      <w:r>
        <w:t xml:space="preserve"> designed to protect artists from false claims of oral agreements, this concern is not an issue in </w:t>
      </w:r>
      <w:r w:rsidR="007E49CF">
        <w:t>the present</w:t>
      </w:r>
      <w:r>
        <w:t xml:space="preserve"> case</w:t>
      </w:r>
      <w:r w:rsidR="00AB0AF3">
        <w:t xml:space="preserve"> because </w:t>
      </w:r>
      <w:r w:rsidR="004241B5">
        <w:t>Lime does not dispute the pre-existing oral agreement</w:t>
      </w:r>
      <w:r>
        <w:t>.</w:t>
      </w:r>
      <w:r w:rsidR="004241B5">
        <w:t xml:space="preserve"> </w:t>
      </w:r>
      <w:r>
        <w:t xml:space="preserve"> </w:t>
      </w:r>
      <w:r w:rsidRPr="00AD3488">
        <w:rPr>
          <w:i/>
        </w:rPr>
        <w:t>Id</w:t>
      </w:r>
      <w:r>
        <w:t xml:space="preserve">. at 412.  </w:t>
      </w:r>
      <w:r w:rsidR="00011F08">
        <w:t xml:space="preserve"> </w:t>
      </w:r>
      <w:r w:rsidR="00C2006F">
        <w:tab/>
      </w:r>
    </w:p>
    <w:p w14:paraId="50864871" w14:textId="77777777" w:rsidR="00550316" w:rsidRPr="002849A4" w:rsidRDefault="00FF7220" w:rsidP="00550316">
      <w:pPr>
        <w:widowControl/>
        <w:numPr>
          <w:ilvl w:val="0"/>
          <w:numId w:val="1"/>
        </w:numPr>
        <w:rPr>
          <w:b/>
          <w:smallCaps/>
        </w:rPr>
      </w:pPr>
      <w:r w:rsidRPr="002849A4">
        <w:rPr>
          <w:b/>
          <w:smallCaps/>
        </w:rPr>
        <w:t>Requiring a Signed Wr</w:t>
      </w:r>
      <w:r w:rsidR="00171561" w:rsidRPr="002849A4">
        <w:rPr>
          <w:b/>
          <w:smallCaps/>
        </w:rPr>
        <w:t xml:space="preserve">iting Prior to the Creation of </w:t>
      </w:r>
      <w:r w:rsidR="0028732A" w:rsidRPr="002849A4">
        <w:rPr>
          <w:b/>
          <w:smallCaps/>
        </w:rPr>
        <w:t xml:space="preserve">a </w:t>
      </w:r>
      <w:r w:rsidR="00D25292">
        <w:rPr>
          <w:b/>
          <w:smallCaps/>
        </w:rPr>
        <w:t>Commissioned Work W</w:t>
      </w:r>
      <w:r w:rsidR="003432ED">
        <w:rPr>
          <w:b/>
          <w:smallCaps/>
        </w:rPr>
        <w:t>ould B</w:t>
      </w:r>
      <w:r w:rsidRPr="002849A4">
        <w:rPr>
          <w:b/>
          <w:smallCaps/>
        </w:rPr>
        <w:t xml:space="preserve">e Impractical and Inefficient in Many Industries. </w:t>
      </w:r>
    </w:p>
    <w:p w14:paraId="4A95FD41" w14:textId="77777777" w:rsidR="00550316" w:rsidRPr="00550316" w:rsidRDefault="00F13157" w:rsidP="00550316">
      <w:pPr>
        <w:widowControl/>
        <w:ind w:left="360"/>
        <w:rPr>
          <w:b/>
        </w:rPr>
      </w:pPr>
      <w:r>
        <w:rPr>
          <w:b/>
        </w:rPr>
        <w:t xml:space="preserve">         </w:t>
      </w:r>
    </w:p>
    <w:p w14:paraId="77217728" w14:textId="77777777" w:rsidR="00FF7220" w:rsidRDefault="00FF7220" w:rsidP="00550316">
      <w:pPr>
        <w:widowControl/>
        <w:spacing w:line="480" w:lineRule="auto"/>
        <w:ind w:firstLine="720"/>
      </w:pPr>
      <w:r>
        <w:t>In addition to the reasons previously set for</w:t>
      </w:r>
      <w:r w:rsidR="0028732A">
        <w:t>th</w:t>
      </w:r>
      <w:r>
        <w:t xml:space="preserve">, Defendants’ motion to dismiss should be denied for reasons of public policy.  A strict requirement that the writing be </w:t>
      </w:r>
      <w:r w:rsidR="00AB0AF3">
        <w:t>signed</w:t>
      </w:r>
      <w:r w:rsidR="00171561">
        <w:t xml:space="preserve"> prior to the work’s creation could frustrate parties’ </w:t>
      </w:r>
      <w:r>
        <w:t xml:space="preserve">intent and incentivize a </w:t>
      </w:r>
      <w:r w:rsidR="00171561">
        <w:t>dissatisfied</w:t>
      </w:r>
      <w:r>
        <w:t xml:space="preserve"> party to claim that the work-made-for-hire agreement was invalid, even though the parties had clearly and explicitly agreed</w:t>
      </w:r>
      <w:r w:rsidR="00163ECD">
        <w:t xml:space="preserve">, prior to the work’s creation, that the work was </w:t>
      </w:r>
      <w:r>
        <w:t>made-for-hire.  The bright</w:t>
      </w:r>
      <w:r w:rsidR="0028732A">
        <w:t>-</w:t>
      </w:r>
      <w:r>
        <w:t xml:space="preserve">line rule </w:t>
      </w:r>
      <w:r w:rsidR="0028732A">
        <w:t xml:space="preserve">proposed by Defendants </w:t>
      </w:r>
      <w:r>
        <w:t>w</w:t>
      </w:r>
      <w:r w:rsidR="0028732A">
        <w:t xml:space="preserve">ould often </w:t>
      </w:r>
      <w:r>
        <w:t xml:space="preserve">be unfair and </w:t>
      </w:r>
      <w:r w:rsidR="00E133AD">
        <w:t xml:space="preserve">could </w:t>
      </w:r>
      <w:r>
        <w:t xml:space="preserve">increase, rather than decrease, </w:t>
      </w:r>
      <w:r w:rsidR="00171561">
        <w:t>un</w:t>
      </w:r>
      <w:r>
        <w:t xml:space="preserve">certainty.  In today’s </w:t>
      </w:r>
      <w:r w:rsidR="0028732A">
        <w:t>technological world,</w:t>
      </w:r>
      <w:r>
        <w:t xml:space="preserve"> agreements </w:t>
      </w:r>
      <w:r w:rsidR="00AB0AF3">
        <w:t>are</w:t>
      </w:r>
      <w:r w:rsidR="00AB5896">
        <w:t xml:space="preserve"> </w:t>
      </w:r>
      <w:r w:rsidR="00D31D39">
        <w:t>frequently</w:t>
      </w:r>
      <w:r w:rsidR="00AB0AF3">
        <w:t xml:space="preserve"> </w:t>
      </w:r>
      <w:r w:rsidR="0028732A">
        <w:t xml:space="preserve">made in </w:t>
      </w:r>
      <w:r>
        <w:t>circumstances where</w:t>
      </w:r>
      <w:r w:rsidR="0028732A">
        <w:t xml:space="preserve"> a signed writing </w:t>
      </w:r>
      <w:r w:rsidR="00E133AD">
        <w:t xml:space="preserve">cannot be executed </w:t>
      </w:r>
      <w:r w:rsidR="0028732A">
        <w:t xml:space="preserve">at </w:t>
      </w:r>
      <w:r w:rsidR="00AB0AF3">
        <w:t>the</w:t>
      </w:r>
      <w:r w:rsidR="0028732A">
        <w:t xml:space="preserve"> </w:t>
      </w:r>
      <w:r w:rsidR="00D31D39">
        <w:t>same</w:t>
      </w:r>
      <w:r w:rsidR="00AB0AF3">
        <w:t xml:space="preserve"> </w:t>
      </w:r>
      <w:r>
        <w:t>time</w:t>
      </w:r>
      <w:r w:rsidR="00AB0AF3">
        <w:t xml:space="preserve"> the agreement is made</w:t>
      </w:r>
      <w:r>
        <w:t>.  Agreements are made over the phone, t</w:t>
      </w:r>
      <w:r w:rsidR="00171561">
        <w:t xml:space="preserve">hrough e-mail, or even </w:t>
      </w:r>
      <w:r w:rsidR="0028732A">
        <w:t xml:space="preserve">through </w:t>
      </w:r>
      <w:r>
        <w:t>text message</w:t>
      </w:r>
      <w:r w:rsidR="0028732A">
        <w:t>s</w:t>
      </w:r>
      <w:r>
        <w:t xml:space="preserve">, and therefore requiring a signed writing prior to the </w:t>
      </w:r>
      <w:r w:rsidR="0028732A">
        <w:t>commissioned work’s c</w:t>
      </w:r>
      <w:r>
        <w:t>reation</w:t>
      </w:r>
      <w:r w:rsidR="0028732A">
        <w:t xml:space="preserve"> co</w:t>
      </w:r>
      <w:r>
        <w:t xml:space="preserve">uld create unnecessary obstacles and inefficiency when such agreements are made and the work is to be created </w:t>
      </w:r>
      <w:r w:rsidR="00171561">
        <w:t>immediately</w:t>
      </w:r>
      <w:r>
        <w:t xml:space="preserve">.   </w:t>
      </w:r>
    </w:p>
    <w:p w14:paraId="59E543D9" w14:textId="77777777" w:rsidR="00FF7220" w:rsidRDefault="00FF7220" w:rsidP="00171561">
      <w:pPr>
        <w:widowControl/>
        <w:spacing w:line="480" w:lineRule="auto"/>
        <w:ind w:firstLine="720"/>
      </w:pPr>
      <w:r>
        <w:t xml:space="preserve">When </w:t>
      </w:r>
      <w:r w:rsidR="00F13157">
        <w:t>interpreting an agreement, the primary goal is to d</w:t>
      </w:r>
      <w:r w:rsidR="00BD5B63">
        <w:t>etermine</w:t>
      </w:r>
      <w:r>
        <w:t xml:space="preserve"> the parties’</w:t>
      </w:r>
      <w:r w:rsidR="00AB5896">
        <w:t xml:space="preserve"> mutual</w:t>
      </w:r>
      <w:r>
        <w:t xml:space="preserve"> intent.</w:t>
      </w:r>
      <w:r w:rsidR="00AB5896">
        <w:t xml:space="preserve">  </w:t>
      </w:r>
      <w:r w:rsidR="00AB5896" w:rsidRPr="00F13157">
        <w:rPr>
          <w:i/>
        </w:rPr>
        <w:t>Duquesne Light Co. v. Westinghouse Elec. Corp.,</w:t>
      </w:r>
      <w:r w:rsidR="00AB5896">
        <w:t xml:space="preserve"> 66 F.3d 604, 613 (1995).  Lime does not dispute the oral agreement and therefore the court should</w:t>
      </w:r>
      <w:r>
        <w:t xml:space="preserve"> enforce the</w:t>
      </w:r>
      <w:r w:rsidR="00EF2B7B">
        <w:t xml:space="preserve"> </w:t>
      </w:r>
      <w:r w:rsidR="00F13157">
        <w:t xml:space="preserve">parties’ clear intent that </w:t>
      </w:r>
      <w:r>
        <w:lastRenderedPageBreak/>
        <w:t xml:space="preserve">the work </w:t>
      </w:r>
      <w:r w:rsidR="00BD5B63">
        <w:t>was</w:t>
      </w:r>
      <w:r>
        <w:t xml:space="preserve"> made-for-hire.  Although Defendants may argue that such an inter</w:t>
      </w:r>
      <w:r w:rsidR="00BD5B63">
        <w:t xml:space="preserve">pretation </w:t>
      </w:r>
      <w:r>
        <w:t xml:space="preserve">will increase uncertainty as to ownership, when </w:t>
      </w:r>
      <w:r w:rsidR="00F13157">
        <w:t xml:space="preserve">it is clear and undisputed that </w:t>
      </w:r>
      <w:r>
        <w:t xml:space="preserve">the parties had mutual understanding and intentions prior to the creation of the work, there is no issue of uncertainty.  </w:t>
      </w:r>
    </w:p>
    <w:p w14:paraId="4B68C1A9" w14:textId="77777777" w:rsidR="009D67A9" w:rsidRDefault="00A62D97" w:rsidP="00171561">
      <w:pPr>
        <w:widowControl/>
        <w:spacing w:line="480" w:lineRule="auto"/>
        <w:ind w:firstLine="720"/>
      </w:pPr>
      <w:r>
        <w:t xml:space="preserve">Given the facts, </w:t>
      </w:r>
      <w:r w:rsidR="009D67A9">
        <w:t xml:space="preserve">the Court should uphold </w:t>
      </w:r>
      <w:r w:rsidR="00171561">
        <w:t xml:space="preserve">OGS’s </w:t>
      </w:r>
      <w:r w:rsidR="009D67A9">
        <w:t xml:space="preserve">ownership rights and deny Defendants’ motion to dismiss.  </w:t>
      </w:r>
      <w:r w:rsidR="00171561">
        <w:t>OGS</w:t>
      </w:r>
      <w:r w:rsidR="00F13157">
        <w:t xml:space="preserve"> took the</w:t>
      </w:r>
      <w:r w:rsidR="009D67A9">
        <w:t xml:space="preserve"> necessary steps to ensure it was the lawful author and owner of the screenplay under the copyright laws of the United States</w:t>
      </w:r>
      <w:r w:rsidR="00F13157">
        <w:t xml:space="preserve"> and </w:t>
      </w:r>
      <w:r w:rsidR="009D67A9">
        <w:t xml:space="preserve">should not be penalized for Lime’s dissatisfaction with </w:t>
      </w:r>
      <w:r w:rsidR="003432ED">
        <w:t xml:space="preserve">the </w:t>
      </w:r>
      <w:r w:rsidR="00F13157">
        <w:t>outcome</w:t>
      </w:r>
      <w:r w:rsidR="003432ED">
        <w:t xml:space="preserve"> of</w:t>
      </w:r>
      <w:r w:rsidR="00F13157">
        <w:t xml:space="preserve"> the parties’ </w:t>
      </w:r>
      <w:r w:rsidR="00EF2B7B">
        <w:t xml:space="preserve">relationship.  </w:t>
      </w:r>
      <w:r w:rsidR="009D67A9">
        <w:t>Lime knew</w:t>
      </w:r>
      <w:r w:rsidR="00EF2B7B">
        <w:t xml:space="preserve"> of</w:t>
      </w:r>
      <w:r w:rsidR="009D67A9">
        <w:t xml:space="preserve"> and understood the wo</w:t>
      </w:r>
      <w:r w:rsidR="00F13157">
        <w:t>rk</w:t>
      </w:r>
      <w:r w:rsidR="00A1750C">
        <w:t>-for-hire agreemen</w:t>
      </w:r>
      <w:r w:rsidR="00C73867">
        <w:t>t and it would be unfair to OGS</w:t>
      </w:r>
      <w:r w:rsidR="00171561">
        <w:t xml:space="preserve"> </w:t>
      </w:r>
      <w:r w:rsidR="00A1750C">
        <w:t xml:space="preserve">to allow her to ignore her </w:t>
      </w:r>
      <w:r w:rsidR="00171561">
        <w:t>obligations</w:t>
      </w:r>
      <w:r w:rsidR="00A1750C">
        <w:t xml:space="preserve"> under the agreement.  The Court’s failure to </w:t>
      </w:r>
      <w:r w:rsidR="00C73867">
        <w:t xml:space="preserve">enforce the agreement </w:t>
      </w:r>
      <w:r w:rsidR="00A1750C">
        <w:t>could result in numerous practical proble</w:t>
      </w:r>
      <w:r w:rsidR="00F13157">
        <w:t xml:space="preserve">ms for the television industry, </w:t>
      </w:r>
      <w:r w:rsidR="00A1750C">
        <w:t xml:space="preserve">as screenwriters could attempt to renege on their clear oral agreements made prior to the execution of a written document. </w:t>
      </w:r>
    </w:p>
    <w:p w14:paraId="0CDA4478" w14:textId="77777777" w:rsidR="000A4897" w:rsidRPr="002849A4" w:rsidRDefault="000A4897" w:rsidP="000A4897">
      <w:pPr>
        <w:widowControl/>
        <w:numPr>
          <w:ilvl w:val="0"/>
          <w:numId w:val="1"/>
        </w:numPr>
        <w:spacing w:line="480" w:lineRule="auto"/>
        <w:rPr>
          <w:b/>
          <w:smallCaps/>
        </w:rPr>
      </w:pPr>
      <w:r w:rsidRPr="002849A4">
        <w:rPr>
          <w:b/>
          <w:smallCaps/>
        </w:rPr>
        <w:t xml:space="preserve">The Rule of Lenity Does Not Apply </w:t>
      </w:r>
      <w:r w:rsidR="000A301C" w:rsidRPr="002849A4">
        <w:rPr>
          <w:b/>
          <w:smallCaps/>
        </w:rPr>
        <w:t>to this Case</w:t>
      </w:r>
      <w:r w:rsidR="003432ED">
        <w:rPr>
          <w:b/>
          <w:smallCaps/>
        </w:rPr>
        <w:t>.</w:t>
      </w:r>
      <w:r w:rsidRPr="002849A4">
        <w:rPr>
          <w:b/>
          <w:smallCaps/>
        </w:rPr>
        <w:t xml:space="preserve"> </w:t>
      </w:r>
    </w:p>
    <w:p w14:paraId="2C815B6E" w14:textId="77777777" w:rsidR="000A4897" w:rsidRDefault="00EB50B8" w:rsidP="00CE5B08">
      <w:pPr>
        <w:widowControl/>
        <w:spacing w:line="480" w:lineRule="auto"/>
        <w:ind w:firstLine="720"/>
      </w:pPr>
      <w:r>
        <w:t>The r</w:t>
      </w:r>
      <w:r w:rsidR="000A301C">
        <w:t xml:space="preserve">ule of </w:t>
      </w:r>
      <w:r>
        <w:t>l</w:t>
      </w:r>
      <w:r w:rsidR="000A301C">
        <w:t xml:space="preserve">enity does not apply to this case.  When a </w:t>
      </w:r>
      <w:r w:rsidR="000A4897">
        <w:t xml:space="preserve">statute is ambiguous and has two plausible interpretations, the rule of lenity applies and the court should </w:t>
      </w:r>
      <w:r w:rsidR="009F3974">
        <w:t xml:space="preserve">construe the statute in favor of </w:t>
      </w:r>
      <w:r w:rsidR="000A4897">
        <w:t xml:space="preserve">the defendant. </w:t>
      </w:r>
      <w:r w:rsidR="009F3974">
        <w:t xml:space="preserve"> </w:t>
      </w:r>
      <w:r w:rsidR="00DB5001">
        <w:rPr>
          <w:i/>
        </w:rPr>
        <w:t xml:space="preserve">United States v. Santos, </w:t>
      </w:r>
      <w:r w:rsidR="00DB5001" w:rsidRPr="00DB5001">
        <w:t>553 U.S. 507, 514 (2008).</w:t>
      </w:r>
      <w:r w:rsidR="004308B1">
        <w:t xml:space="preserve">  Although typically applied </w:t>
      </w:r>
      <w:r w:rsidR="000A4897">
        <w:t xml:space="preserve">to criminal statutes, </w:t>
      </w:r>
      <w:r w:rsidR="004308B1">
        <w:t>the rule</w:t>
      </w:r>
      <w:r w:rsidR="000A4897">
        <w:t xml:space="preserve"> has also been applied to punitive civil sanctions or statutes in which the </w:t>
      </w:r>
      <w:r>
        <w:t>underling liability is criminal, such as the Copyright Act.</w:t>
      </w:r>
      <w:r w:rsidR="000A4897">
        <w:t xml:space="preserve">  </w:t>
      </w:r>
      <w:r>
        <w:rPr>
          <w:i/>
        </w:rPr>
        <w:t>See C</w:t>
      </w:r>
      <w:r w:rsidR="000A4897">
        <w:rPr>
          <w:i/>
        </w:rPr>
        <w:t>randon v. United States,</w:t>
      </w:r>
      <w:r w:rsidR="009F3974">
        <w:t xml:space="preserve"> 494 U.S. 152</w:t>
      </w:r>
      <w:r w:rsidR="00CE5B08">
        <w:t>, 158</w:t>
      </w:r>
      <w:r w:rsidR="009F3974">
        <w:t xml:space="preserve"> (1990). </w:t>
      </w:r>
      <w:r w:rsidR="000A4897">
        <w:t xml:space="preserve"> One justification for the</w:t>
      </w:r>
      <w:r w:rsidR="00F81C65">
        <w:t xml:space="preserve"> rule</w:t>
      </w:r>
      <w:r w:rsidR="000A4897">
        <w:t xml:space="preserve"> </w:t>
      </w:r>
      <w:r w:rsidR="000A4897" w:rsidRPr="00CE5B08">
        <w:t>is that “a fair warning should be given</w:t>
      </w:r>
      <w:r w:rsidR="009F3974" w:rsidRPr="00CE5B08">
        <w:t xml:space="preserve"> . . . </w:t>
      </w:r>
      <w:r w:rsidR="000A4897" w:rsidRPr="00CE5B08">
        <w:t>of what the law intends to do if a certain line is passed.”</w:t>
      </w:r>
      <w:r w:rsidR="003432ED">
        <w:t xml:space="preserve"> </w:t>
      </w:r>
      <w:r w:rsidR="00752B27" w:rsidRPr="00CE5B08">
        <w:t xml:space="preserve"> </w:t>
      </w:r>
      <w:r w:rsidR="00EF6E19" w:rsidRPr="00CE5B08">
        <w:rPr>
          <w:i/>
        </w:rPr>
        <w:t>Babbit v. Sweet Home Chapter of Comm. For Great</w:t>
      </w:r>
      <w:r w:rsidR="004A21A9" w:rsidRPr="00CE5B08">
        <w:rPr>
          <w:i/>
        </w:rPr>
        <w:t>er</w:t>
      </w:r>
      <w:r w:rsidR="00EF6E19" w:rsidRPr="00CE5B08">
        <w:rPr>
          <w:i/>
        </w:rPr>
        <w:t xml:space="preserve"> Or.,</w:t>
      </w:r>
      <w:r w:rsidRPr="00CE5B08">
        <w:t xml:space="preserve"> 515 U.S. 687, 704 n</w:t>
      </w:r>
      <w:r w:rsidR="00EF6E19" w:rsidRPr="00CE5B08">
        <w:t>.18 (1995).</w:t>
      </w:r>
      <w:r w:rsidR="00EF6E19">
        <w:t xml:space="preserve"> </w:t>
      </w:r>
      <w:r w:rsidR="00752B27">
        <w:t xml:space="preserve"> However, the rule </w:t>
      </w:r>
      <w:r w:rsidR="000A4897">
        <w:t>is only invoked if, “after seizing everything from which aid can b</w:t>
      </w:r>
      <w:r w:rsidR="00752B27">
        <w:t>e derived</w:t>
      </w:r>
      <w:r>
        <w:t>,</w:t>
      </w:r>
      <w:r w:rsidR="00752B27">
        <w:t xml:space="preserve">” the court can still </w:t>
      </w:r>
      <w:r w:rsidR="00C73867">
        <w:t xml:space="preserve">“make no more than a </w:t>
      </w:r>
      <w:r w:rsidR="000A4897">
        <w:t xml:space="preserve">guess as to what Congress intended.” </w:t>
      </w:r>
      <w:r w:rsidR="000A4897">
        <w:rPr>
          <w:i/>
        </w:rPr>
        <w:t>Muscarello v. United States</w:t>
      </w:r>
      <w:r w:rsidR="00D31D39">
        <w:t xml:space="preserve">, 524 U.S. 125, 138 (1998).  </w:t>
      </w:r>
      <w:r w:rsidR="0001570D">
        <w:t>M</w:t>
      </w:r>
      <w:r w:rsidR="009F3974">
        <w:t xml:space="preserve">uch more than a guess can be made </w:t>
      </w:r>
      <w:r w:rsidR="000A301C">
        <w:t xml:space="preserve">about what Congress intended by § 101(2): the </w:t>
      </w:r>
      <w:r w:rsidR="000A301C">
        <w:lastRenderedPageBreak/>
        <w:t xml:space="preserve">plain meaning of the text, the legislative history, and case law all support the </w:t>
      </w:r>
      <w:r w:rsidR="00704673">
        <w:t xml:space="preserve">conclusion that a work-for-hire agreement is valid even if a writing is not signed until </w:t>
      </w:r>
      <w:r w:rsidR="000A301C">
        <w:t xml:space="preserve">after the creation of the commissioned work.  </w:t>
      </w:r>
      <w:r w:rsidR="00EF2B7B">
        <w:t>A</w:t>
      </w:r>
      <w:r w:rsidR="000A301C">
        <w:t xml:space="preserve">dditionally, </w:t>
      </w:r>
      <w:r w:rsidR="00EF2B7B">
        <w:t>g</w:t>
      </w:r>
      <w:r w:rsidR="000A4897">
        <w:t xml:space="preserve">iven the unambiguous </w:t>
      </w:r>
      <w:r w:rsidR="000A301C">
        <w:t xml:space="preserve">and uncontested </w:t>
      </w:r>
      <w:r w:rsidR="000A4897">
        <w:t xml:space="preserve">oral agreement </w:t>
      </w:r>
      <w:r w:rsidR="00C73867">
        <w:t>made</w:t>
      </w:r>
      <w:r w:rsidR="000A301C">
        <w:t xml:space="preserve"> by the parties</w:t>
      </w:r>
      <w:r w:rsidR="000A4897">
        <w:t xml:space="preserve"> </w:t>
      </w:r>
      <w:r w:rsidR="00704673">
        <w:t xml:space="preserve">prior to the screenplay’s creation </w:t>
      </w:r>
      <w:r w:rsidR="000A4897">
        <w:t>and the later signi</w:t>
      </w:r>
      <w:r w:rsidR="00752B27">
        <w:t xml:space="preserve">ng of a written agreement, the rule of lenity </w:t>
      </w:r>
      <w:r w:rsidR="000A301C">
        <w:t>does not apply</w:t>
      </w:r>
      <w:r>
        <w:t xml:space="preserve">.  </w:t>
      </w:r>
      <w:r w:rsidR="00752B27">
        <w:t xml:space="preserve">Lime </w:t>
      </w:r>
      <w:r w:rsidR="000A4897">
        <w:t xml:space="preserve">had </w:t>
      </w:r>
      <w:r w:rsidR="00EF2B7B">
        <w:t xml:space="preserve">fair and </w:t>
      </w:r>
      <w:r w:rsidR="000A4897">
        <w:t xml:space="preserve">adequate notice that her screenplay was for-hire and as a result </w:t>
      </w:r>
      <w:r w:rsidR="00752B27">
        <w:t xml:space="preserve">she had no right </w:t>
      </w:r>
      <w:r w:rsidR="00C73867">
        <w:t xml:space="preserve">to </w:t>
      </w:r>
      <w:r w:rsidR="000A4897">
        <w:t xml:space="preserve">produce </w:t>
      </w:r>
      <w:r w:rsidR="00752B27">
        <w:t xml:space="preserve">a </w:t>
      </w:r>
      <w:r w:rsidR="000A4897">
        <w:t xml:space="preserve">work copied in substantial part from the screenplay. </w:t>
      </w:r>
    </w:p>
    <w:p w14:paraId="799D4866" w14:textId="77777777" w:rsidR="000A7C0A" w:rsidRPr="00FD7268" w:rsidRDefault="000A7C0A" w:rsidP="00831639">
      <w:pPr>
        <w:widowControl/>
        <w:spacing w:line="480" w:lineRule="auto"/>
        <w:jc w:val="center"/>
        <w:rPr>
          <w:b/>
        </w:rPr>
      </w:pPr>
      <w:r w:rsidRPr="00FD7268">
        <w:rPr>
          <w:b/>
        </w:rPr>
        <w:t>CONCLUSION</w:t>
      </w:r>
    </w:p>
    <w:p w14:paraId="21EF6F29" w14:textId="77777777" w:rsidR="000A4897" w:rsidRDefault="000A7C0A" w:rsidP="00F13157">
      <w:pPr>
        <w:widowControl/>
        <w:spacing w:line="480" w:lineRule="auto"/>
        <w:ind w:firstLine="720"/>
      </w:pPr>
      <w:r>
        <w:t xml:space="preserve">For all the above reasons, OGS respectfully requests that </w:t>
      </w:r>
      <w:r w:rsidR="00C73867">
        <w:t>the</w:t>
      </w:r>
      <w:r>
        <w:t xml:space="preserve"> Court deny Defendants’ motion to dismiss.  There is no </w:t>
      </w:r>
      <w:r w:rsidR="003432ED">
        <w:t>indication</w:t>
      </w:r>
      <w:r w:rsidR="00CD4920">
        <w:t xml:space="preserve"> that </w:t>
      </w:r>
      <w:r>
        <w:t>t</w:t>
      </w:r>
      <w:r w:rsidR="00A62D97">
        <w:t>he writing required by</w:t>
      </w:r>
      <w:r>
        <w:t xml:space="preserve"> § 101(2) must be signed prior to the </w:t>
      </w:r>
      <w:r w:rsidR="00CD4920">
        <w:t>creation of a commissioned work</w:t>
      </w:r>
      <w:r w:rsidR="003432ED">
        <w:t>-for-hire.</w:t>
      </w:r>
      <w:r>
        <w:t xml:space="preserve">  There is undisputed evidence that Lime agreed, prior to the creation of the screenplay, that her work was made-for-hire.   OGS </w:t>
      </w:r>
      <w:r w:rsidR="00FD7268">
        <w:t xml:space="preserve">has met its burden to state a claim upon which relief may be granted pursuant to </w:t>
      </w:r>
      <w:r w:rsidR="00FD7268" w:rsidRPr="00116DB8">
        <w:rPr>
          <w:smallCaps/>
        </w:rPr>
        <w:t>Fed. R. Civ. P.</w:t>
      </w:r>
      <w:r w:rsidR="00FD7268">
        <w:t xml:space="preserve"> 12(b</w:t>
      </w:r>
      <w:r w:rsidR="00A36EB9">
        <w:t>)(</w:t>
      </w:r>
      <w:r w:rsidR="00FD7268">
        <w:t>6).</w:t>
      </w:r>
    </w:p>
    <w:p w14:paraId="79884657" w14:textId="77777777" w:rsidR="00CE5B08" w:rsidRDefault="00CE5B08" w:rsidP="00FD7268">
      <w:pPr>
        <w:jc w:val="both"/>
      </w:pPr>
    </w:p>
    <w:p w14:paraId="7BFF7E9F" w14:textId="77777777" w:rsidR="00FD7268" w:rsidRDefault="00FD7268" w:rsidP="008F2E57">
      <w:pPr>
        <w:jc w:val="both"/>
      </w:pPr>
      <w:r>
        <w:t>Dated:  __________________</w:t>
      </w:r>
      <w:r>
        <w:tab/>
      </w:r>
      <w:r>
        <w:tab/>
      </w:r>
      <w:r>
        <w:tab/>
      </w:r>
      <w:r>
        <w:tab/>
        <w:t>Respectfully submitted,</w:t>
      </w:r>
    </w:p>
    <w:p w14:paraId="13A9A641" w14:textId="77777777" w:rsidR="00486153" w:rsidRDefault="00486153" w:rsidP="008F2E57">
      <w:pPr>
        <w:jc w:val="both"/>
      </w:pPr>
    </w:p>
    <w:p w14:paraId="6E5BD544" w14:textId="77777777" w:rsidR="00FD7268" w:rsidRDefault="00FD7268" w:rsidP="00FF253F">
      <w:pPr>
        <w:jc w:val="both"/>
      </w:pPr>
      <w:r>
        <w:tab/>
      </w:r>
      <w:r>
        <w:tab/>
      </w:r>
      <w:r>
        <w:tab/>
      </w:r>
      <w:r>
        <w:tab/>
      </w:r>
      <w:r>
        <w:tab/>
      </w:r>
      <w:r>
        <w:tab/>
      </w:r>
      <w:r>
        <w:tab/>
      </w:r>
      <w:r>
        <w:tab/>
      </w:r>
      <w:r w:rsidR="00FF253F">
        <w:rPr>
          <w:szCs w:val="24"/>
        </w:rPr>
        <w:t>&lt;redacted&gt;&lt;/redacted&gt;</w:t>
      </w:r>
      <w:bookmarkStart w:id="0" w:name="_GoBack"/>
      <w:bookmarkEnd w:id="0"/>
    </w:p>
    <w:p w14:paraId="541180BF" w14:textId="77777777" w:rsidR="00FD7268" w:rsidRDefault="00FD7268" w:rsidP="00FD7268">
      <w:pPr>
        <w:jc w:val="both"/>
      </w:pPr>
    </w:p>
    <w:p w14:paraId="3E8500B8" w14:textId="77777777" w:rsidR="00FD7268" w:rsidRDefault="00FD7268" w:rsidP="00FD7268">
      <w:pPr>
        <w:jc w:val="both"/>
      </w:pPr>
      <w:r>
        <w:tab/>
      </w:r>
      <w:r>
        <w:tab/>
      </w:r>
      <w:r>
        <w:tab/>
      </w:r>
      <w:r>
        <w:tab/>
      </w:r>
      <w:r>
        <w:tab/>
      </w:r>
      <w:r>
        <w:tab/>
      </w:r>
      <w:r>
        <w:tab/>
      </w:r>
      <w:r>
        <w:tab/>
        <w:t>ATTORNEY FOR PLAINTIFF</w:t>
      </w:r>
    </w:p>
    <w:p w14:paraId="0F796AD0" w14:textId="77777777" w:rsidR="00FD7268" w:rsidRPr="00526630" w:rsidRDefault="00FD7268" w:rsidP="00752B27">
      <w:pPr>
        <w:jc w:val="both"/>
      </w:pPr>
      <w:r>
        <w:tab/>
      </w:r>
      <w:r>
        <w:tab/>
      </w:r>
      <w:r>
        <w:tab/>
      </w:r>
      <w:r>
        <w:tab/>
      </w:r>
      <w:r>
        <w:tab/>
      </w:r>
      <w:r>
        <w:tab/>
      </w:r>
      <w:r>
        <w:tab/>
      </w:r>
      <w:r>
        <w:tab/>
        <w:t>OGS</w:t>
      </w:r>
      <w:r w:rsidR="00F81C65">
        <w:t xml:space="preserve"> TV, Inc. </w:t>
      </w:r>
    </w:p>
    <w:sectPr w:rsidR="00FD7268" w:rsidRPr="00526630" w:rsidSect="00EA1258">
      <w:footerReference w:type="default" r:id="rId8"/>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B8E82" w14:textId="77777777" w:rsidR="005731E6" w:rsidRDefault="005731E6" w:rsidP="008F3EEC">
      <w:r>
        <w:separator/>
      </w:r>
    </w:p>
  </w:endnote>
  <w:endnote w:type="continuationSeparator" w:id="0">
    <w:p w14:paraId="7DF50976" w14:textId="77777777" w:rsidR="005731E6" w:rsidRDefault="005731E6" w:rsidP="008F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559432"/>
      <w:docPartObj>
        <w:docPartGallery w:val="Page Numbers (Bottom of Page)"/>
        <w:docPartUnique/>
      </w:docPartObj>
    </w:sdtPr>
    <w:sdtEndPr>
      <w:rPr>
        <w:noProof/>
      </w:rPr>
    </w:sdtEndPr>
    <w:sdtContent>
      <w:p w14:paraId="078004FB" w14:textId="77777777" w:rsidR="008F3EEC" w:rsidRDefault="00EA1258" w:rsidP="00EA1258">
        <w:pPr>
          <w:pStyle w:val="Footer"/>
          <w:tabs>
            <w:tab w:val="left" w:pos="2676"/>
            <w:tab w:val="center" w:pos="4680"/>
          </w:tabs>
        </w:pPr>
        <w:r>
          <w:tab/>
        </w:r>
        <w:r>
          <w:tab/>
        </w:r>
        <w:r>
          <w:tab/>
        </w:r>
        <w:r w:rsidR="008F3EEC">
          <w:fldChar w:fldCharType="begin"/>
        </w:r>
        <w:r w:rsidR="008F3EEC">
          <w:instrText xml:space="preserve"> PAGE   \* MERGEFORMAT </w:instrText>
        </w:r>
        <w:r w:rsidR="008F3EEC">
          <w:fldChar w:fldCharType="separate"/>
        </w:r>
        <w:r w:rsidR="00FF253F">
          <w:rPr>
            <w:noProof/>
          </w:rPr>
          <w:t>15</w:t>
        </w:r>
        <w:r w:rsidR="008F3EEC">
          <w:rPr>
            <w:noProof/>
          </w:rPr>
          <w:fldChar w:fldCharType="end"/>
        </w:r>
      </w:p>
    </w:sdtContent>
  </w:sdt>
  <w:p w14:paraId="554BD046" w14:textId="77777777" w:rsidR="008F3EEC" w:rsidRDefault="008F3EE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36A7B" w14:textId="77777777" w:rsidR="005731E6" w:rsidRDefault="005731E6" w:rsidP="008F3EEC">
      <w:r>
        <w:separator/>
      </w:r>
    </w:p>
  </w:footnote>
  <w:footnote w:type="continuationSeparator" w:id="0">
    <w:p w14:paraId="763E3DF2" w14:textId="77777777" w:rsidR="005731E6" w:rsidRDefault="005731E6" w:rsidP="008F3EE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6DD7"/>
    <w:multiLevelType w:val="hybridMultilevel"/>
    <w:tmpl w:val="6A00F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080FA5"/>
    <w:multiLevelType w:val="hybridMultilevel"/>
    <w:tmpl w:val="1464A07A"/>
    <w:lvl w:ilvl="0" w:tplc="04090015">
      <w:start w:val="1"/>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0D37D1"/>
    <w:multiLevelType w:val="hybridMultilevel"/>
    <w:tmpl w:val="A5E8522A"/>
    <w:lvl w:ilvl="0" w:tplc="981CD0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887561"/>
    <w:multiLevelType w:val="hybridMultilevel"/>
    <w:tmpl w:val="12A4A4DC"/>
    <w:lvl w:ilvl="0" w:tplc="E6A271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FE700AA"/>
    <w:multiLevelType w:val="hybridMultilevel"/>
    <w:tmpl w:val="6128CE74"/>
    <w:lvl w:ilvl="0" w:tplc="43E8A040">
      <w:start w:val="2"/>
      <w:numFmt w:val="bullet"/>
      <w:lvlText w:val="-"/>
      <w:lvlJc w:val="left"/>
      <w:pPr>
        <w:ind w:left="540" w:hanging="360"/>
      </w:pPr>
      <w:rPr>
        <w:rFonts w:ascii="Calibri" w:eastAsiaTheme="minorHAnsi" w:hAnsi="Calibri" w:cs="Calibri"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54C13379"/>
    <w:multiLevelType w:val="hybridMultilevel"/>
    <w:tmpl w:val="8B76AA04"/>
    <w:lvl w:ilvl="0" w:tplc="71CAAEC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160EFC"/>
    <w:multiLevelType w:val="hybridMultilevel"/>
    <w:tmpl w:val="35DE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216CCE"/>
    <w:multiLevelType w:val="hybridMultilevel"/>
    <w:tmpl w:val="6074B2AC"/>
    <w:lvl w:ilvl="0" w:tplc="BFEC569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F86163"/>
    <w:multiLevelType w:val="hybridMultilevel"/>
    <w:tmpl w:val="12A4A4DC"/>
    <w:lvl w:ilvl="0" w:tplc="E6A271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4"/>
  </w:num>
  <w:num w:numId="4">
    <w:abstractNumId w:val="2"/>
  </w:num>
  <w:num w:numId="5">
    <w:abstractNumId w:val="0"/>
  </w:num>
  <w:num w:numId="6">
    <w:abstractNumId w:val="6"/>
  </w:num>
  <w:num w:numId="7">
    <w:abstractNumId w:val="3"/>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353"/>
    <w:rsid w:val="00011F08"/>
    <w:rsid w:val="0001570D"/>
    <w:rsid w:val="00022027"/>
    <w:rsid w:val="00032282"/>
    <w:rsid w:val="00035315"/>
    <w:rsid w:val="00041EBD"/>
    <w:rsid w:val="00060AD2"/>
    <w:rsid w:val="00064D5F"/>
    <w:rsid w:val="00066F93"/>
    <w:rsid w:val="00076669"/>
    <w:rsid w:val="00080DF6"/>
    <w:rsid w:val="00097236"/>
    <w:rsid w:val="000A301C"/>
    <w:rsid w:val="000A4897"/>
    <w:rsid w:val="000A7C0A"/>
    <w:rsid w:val="000B17EB"/>
    <w:rsid w:val="000D5B07"/>
    <w:rsid w:val="000E318D"/>
    <w:rsid w:val="00106A4A"/>
    <w:rsid w:val="00106D54"/>
    <w:rsid w:val="00136733"/>
    <w:rsid w:val="00136D31"/>
    <w:rsid w:val="00144098"/>
    <w:rsid w:val="001500F8"/>
    <w:rsid w:val="00151B9A"/>
    <w:rsid w:val="00163ECD"/>
    <w:rsid w:val="00171561"/>
    <w:rsid w:val="00192933"/>
    <w:rsid w:val="001A57F8"/>
    <w:rsid w:val="001B2EFB"/>
    <w:rsid w:val="001D00FA"/>
    <w:rsid w:val="001E2841"/>
    <w:rsid w:val="002504C6"/>
    <w:rsid w:val="00257B53"/>
    <w:rsid w:val="00263B53"/>
    <w:rsid w:val="0026655B"/>
    <w:rsid w:val="002849A4"/>
    <w:rsid w:val="0028732A"/>
    <w:rsid w:val="002920A7"/>
    <w:rsid w:val="002B7662"/>
    <w:rsid w:val="002C5457"/>
    <w:rsid w:val="002C7512"/>
    <w:rsid w:val="002E3A53"/>
    <w:rsid w:val="002E3BE8"/>
    <w:rsid w:val="00314315"/>
    <w:rsid w:val="003432ED"/>
    <w:rsid w:val="0036231E"/>
    <w:rsid w:val="00364001"/>
    <w:rsid w:val="00367C59"/>
    <w:rsid w:val="003910C6"/>
    <w:rsid w:val="003A4250"/>
    <w:rsid w:val="003B6761"/>
    <w:rsid w:val="003B744C"/>
    <w:rsid w:val="003E5277"/>
    <w:rsid w:val="003F4A04"/>
    <w:rsid w:val="003F58C3"/>
    <w:rsid w:val="004241B5"/>
    <w:rsid w:val="0042753C"/>
    <w:rsid w:val="004308B1"/>
    <w:rsid w:val="004477A9"/>
    <w:rsid w:val="00486153"/>
    <w:rsid w:val="004867BF"/>
    <w:rsid w:val="004A21A9"/>
    <w:rsid w:val="004A23C5"/>
    <w:rsid w:val="004B0962"/>
    <w:rsid w:val="004F2B89"/>
    <w:rsid w:val="004F454F"/>
    <w:rsid w:val="00507947"/>
    <w:rsid w:val="00510053"/>
    <w:rsid w:val="005201F8"/>
    <w:rsid w:val="00526630"/>
    <w:rsid w:val="00550316"/>
    <w:rsid w:val="00553FB6"/>
    <w:rsid w:val="005630DE"/>
    <w:rsid w:val="00572B2F"/>
    <w:rsid w:val="005731E6"/>
    <w:rsid w:val="00576E00"/>
    <w:rsid w:val="00586944"/>
    <w:rsid w:val="005A35DA"/>
    <w:rsid w:val="005A5A0A"/>
    <w:rsid w:val="005D5CDA"/>
    <w:rsid w:val="005E2C68"/>
    <w:rsid w:val="005E67EF"/>
    <w:rsid w:val="006057B8"/>
    <w:rsid w:val="00610F2E"/>
    <w:rsid w:val="006317B9"/>
    <w:rsid w:val="00632747"/>
    <w:rsid w:val="00642060"/>
    <w:rsid w:val="00664CF2"/>
    <w:rsid w:val="006706CC"/>
    <w:rsid w:val="00674B01"/>
    <w:rsid w:val="00683738"/>
    <w:rsid w:val="0069034E"/>
    <w:rsid w:val="00695823"/>
    <w:rsid w:val="006B7324"/>
    <w:rsid w:val="006C1B60"/>
    <w:rsid w:val="006D3C52"/>
    <w:rsid w:val="00704673"/>
    <w:rsid w:val="007152A1"/>
    <w:rsid w:val="007231EF"/>
    <w:rsid w:val="0072659C"/>
    <w:rsid w:val="007266D0"/>
    <w:rsid w:val="00744047"/>
    <w:rsid w:val="007468EF"/>
    <w:rsid w:val="00752B27"/>
    <w:rsid w:val="0079783C"/>
    <w:rsid w:val="007D64B1"/>
    <w:rsid w:val="007E49CF"/>
    <w:rsid w:val="007F085A"/>
    <w:rsid w:val="007F53E2"/>
    <w:rsid w:val="0081170D"/>
    <w:rsid w:val="00831639"/>
    <w:rsid w:val="00840002"/>
    <w:rsid w:val="00841CF4"/>
    <w:rsid w:val="00842B09"/>
    <w:rsid w:val="00892207"/>
    <w:rsid w:val="008940CF"/>
    <w:rsid w:val="008A4F89"/>
    <w:rsid w:val="008C6DFD"/>
    <w:rsid w:val="008D380F"/>
    <w:rsid w:val="008E38AA"/>
    <w:rsid w:val="008F2E57"/>
    <w:rsid w:val="008F3EEC"/>
    <w:rsid w:val="009103CA"/>
    <w:rsid w:val="0091452F"/>
    <w:rsid w:val="00931CA4"/>
    <w:rsid w:val="00947E7D"/>
    <w:rsid w:val="00954AFA"/>
    <w:rsid w:val="00967E6C"/>
    <w:rsid w:val="00972CDC"/>
    <w:rsid w:val="00993B69"/>
    <w:rsid w:val="009A04F4"/>
    <w:rsid w:val="009A1CDE"/>
    <w:rsid w:val="009A7FAF"/>
    <w:rsid w:val="009D67A9"/>
    <w:rsid w:val="009D7DD2"/>
    <w:rsid w:val="009E40E9"/>
    <w:rsid w:val="009F2353"/>
    <w:rsid w:val="009F3974"/>
    <w:rsid w:val="00A00262"/>
    <w:rsid w:val="00A1750C"/>
    <w:rsid w:val="00A27404"/>
    <w:rsid w:val="00A36EB9"/>
    <w:rsid w:val="00A44AC8"/>
    <w:rsid w:val="00A51598"/>
    <w:rsid w:val="00A517BD"/>
    <w:rsid w:val="00A62D97"/>
    <w:rsid w:val="00A67A4F"/>
    <w:rsid w:val="00A700C1"/>
    <w:rsid w:val="00A720D7"/>
    <w:rsid w:val="00A747A8"/>
    <w:rsid w:val="00AB0AF3"/>
    <w:rsid w:val="00AB5896"/>
    <w:rsid w:val="00AD3488"/>
    <w:rsid w:val="00AE1485"/>
    <w:rsid w:val="00AF455C"/>
    <w:rsid w:val="00AF4FF6"/>
    <w:rsid w:val="00B305C0"/>
    <w:rsid w:val="00B65121"/>
    <w:rsid w:val="00B66A7D"/>
    <w:rsid w:val="00BA6D45"/>
    <w:rsid w:val="00BB3112"/>
    <w:rsid w:val="00BC712C"/>
    <w:rsid w:val="00BD5B63"/>
    <w:rsid w:val="00BD60E6"/>
    <w:rsid w:val="00BE6DDC"/>
    <w:rsid w:val="00BE78B1"/>
    <w:rsid w:val="00C0703E"/>
    <w:rsid w:val="00C2006F"/>
    <w:rsid w:val="00C265E3"/>
    <w:rsid w:val="00C31D3A"/>
    <w:rsid w:val="00C51424"/>
    <w:rsid w:val="00C63D8A"/>
    <w:rsid w:val="00C727FD"/>
    <w:rsid w:val="00C73867"/>
    <w:rsid w:val="00CC1679"/>
    <w:rsid w:val="00CC1BA9"/>
    <w:rsid w:val="00CC2134"/>
    <w:rsid w:val="00CC7594"/>
    <w:rsid w:val="00CD3638"/>
    <w:rsid w:val="00CD4920"/>
    <w:rsid w:val="00CE09AE"/>
    <w:rsid w:val="00CE5B08"/>
    <w:rsid w:val="00D02B97"/>
    <w:rsid w:val="00D05018"/>
    <w:rsid w:val="00D10837"/>
    <w:rsid w:val="00D16A1E"/>
    <w:rsid w:val="00D23C7E"/>
    <w:rsid w:val="00D25292"/>
    <w:rsid w:val="00D31D39"/>
    <w:rsid w:val="00D40B67"/>
    <w:rsid w:val="00D50280"/>
    <w:rsid w:val="00D56AE2"/>
    <w:rsid w:val="00D62382"/>
    <w:rsid w:val="00D64000"/>
    <w:rsid w:val="00D655E7"/>
    <w:rsid w:val="00D70E1D"/>
    <w:rsid w:val="00D844F1"/>
    <w:rsid w:val="00DA32A6"/>
    <w:rsid w:val="00DB5001"/>
    <w:rsid w:val="00DD649C"/>
    <w:rsid w:val="00E11433"/>
    <w:rsid w:val="00E133AD"/>
    <w:rsid w:val="00E35B40"/>
    <w:rsid w:val="00E41F57"/>
    <w:rsid w:val="00E5630D"/>
    <w:rsid w:val="00E60B6A"/>
    <w:rsid w:val="00E62705"/>
    <w:rsid w:val="00E63E11"/>
    <w:rsid w:val="00E66ABF"/>
    <w:rsid w:val="00E700C5"/>
    <w:rsid w:val="00E72B5E"/>
    <w:rsid w:val="00E74E6F"/>
    <w:rsid w:val="00E76BFA"/>
    <w:rsid w:val="00E83B69"/>
    <w:rsid w:val="00E84657"/>
    <w:rsid w:val="00E85B9D"/>
    <w:rsid w:val="00EA1258"/>
    <w:rsid w:val="00EA41CC"/>
    <w:rsid w:val="00EB50B8"/>
    <w:rsid w:val="00EF2B7B"/>
    <w:rsid w:val="00EF6E19"/>
    <w:rsid w:val="00F04AFC"/>
    <w:rsid w:val="00F070AD"/>
    <w:rsid w:val="00F13157"/>
    <w:rsid w:val="00F27B6B"/>
    <w:rsid w:val="00F753B8"/>
    <w:rsid w:val="00F81C65"/>
    <w:rsid w:val="00F8329F"/>
    <w:rsid w:val="00F878CB"/>
    <w:rsid w:val="00FB31E9"/>
    <w:rsid w:val="00FC483B"/>
    <w:rsid w:val="00FD7268"/>
    <w:rsid w:val="00FD7ECD"/>
    <w:rsid w:val="00FE467C"/>
    <w:rsid w:val="00FF253F"/>
    <w:rsid w:val="00FF72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4524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353"/>
    <w:pPr>
      <w:widowControl w:val="0"/>
    </w:pPr>
    <w:rPr>
      <w:rFonts w:ascii="Times New Roman" w:eastAsia="Times New Roman" w:hAnsi="Times New Roman" w:cs="Times New Roman"/>
      <w:snapToGrid w:val="0"/>
      <w:sz w:val="24"/>
      <w:szCs w:val="20"/>
    </w:rPr>
  </w:style>
  <w:style w:type="paragraph" w:styleId="Heading2">
    <w:name w:val="heading 2"/>
    <w:basedOn w:val="Normal"/>
    <w:next w:val="Normal"/>
    <w:link w:val="Heading2Char"/>
    <w:qFormat/>
    <w:rsid w:val="009F2353"/>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2353"/>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9F2353"/>
    <w:pPr>
      <w:widowControl/>
      <w:tabs>
        <w:tab w:val="center" w:pos="4320"/>
        <w:tab w:val="right" w:pos="8640"/>
      </w:tabs>
    </w:pPr>
    <w:rPr>
      <w:snapToGrid/>
    </w:rPr>
  </w:style>
  <w:style w:type="character" w:customStyle="1" w:styleId="FooterChar">
    <w:name w:val="Footer Char"/>
    <w:basedOn w:val="DefaultParagraphFont"/>
    <w:link w:val="Footer"/>
    <w:uiPriority w:val="99"/>
    <w:rsid w:val="009F2353"/>
    <w:rPr>
      <w:rFonts w:ascii="Times New Roman" w:eastAsia="Times New Roman" w:hAnsi="Times New Roman" w:cs="Times New Roman"/>
      <w:sz w:val="24"/>
      <w:szCs w:val="20"/>
    </w:rPr>
  </w:style>
  <w:style w:type="paragraph" w:styleId="BodyText">
    <w:name w:val="Body Text"/>
    <w:basedOn w:val="Normal"/>
    <w:link w:val="BodyTextChar"/>
    <w:rsid w:val="009F2353"/>
    <w:pPr>
      <w:jc w:val="both"/>
    </w:pPr>
  </w:style>
  <w:style w:type="character" w:customStyle="1" w:styleId="BodyTextChar">
    <w:name w:val="Body Text Char"/>
    <w:basedOn w:val="DefaultParagraphFont"/>
    <w:link w:val="BodyText"/>
    <w:rsid w:val="009F2353"/>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8F3EEC"/>
    <w:pPr>
      <w:tabs>
        <w:tab w:val="center" w:pos="4680"/>
        <w:tab w:val="right" w:pos="9360"/>
      </w:tabs>
    </w:pPr>
  </w:style>
  <w:style w:type="character" w:customStyle="1" w:styleId="HeaderChar">
    <w:name w:val="Header Char"/>
    <w:basedOn w:val="DefaultParagraphFont"/>
    <w:link w:val="Header"/>
    <w:uiPriority w:val="99"/>
    <w:rsid w:val="008F3EEC"/>
    <w:rPr>
      <w:rFonts w:ascii="Times New Roman" w:eastAsia="Times New Roman" w:hAnsi="Times New Roman" w:cs="Times New Roman"/>
      <w:snapToGrid w:val="0"/>
      <w:sz w:val="24"/>
      <w:szCs w:val="20"/>
    </w:rPr>
  </w:style>
  <w:style w:type="character" w:styleId="Hyperlink">
    <w:name w:val="Hyperlink"/>
    <w:basedOn w:val="DefaultParagraphFont"/>
    <w:uiPriority w:val="99"/>
    <w:unhideWhenUsed/>
    <w:rsid w:val="007D64B1"/>
    <w:rPr>
      <w:color w:val="0000FF" w:themeColor="hyperlink"/>
      <w:u w:val="single"/>
    </w:rPr>
  </w:style>
  <w:style w:type="paragraph" w:styleId="BalloonText">
    <w:name w:val="Balloon Text"/>
    <w:basedOn w:val="Normal"/>
    <w:link w:val="BalloonTextChar"/>
    <w:uiPriority w:val="99"/>
    <w:semiHidden/>
    <w:unhideWhenUsed/>
    <w:rsid w:val="00CE09AE"/>
    <w:rPr>
      <w:rFonts w:ascii="Tahoma" w:hAnsi="Tahoma" w:cs="Tahoma"/>
      <w:sz w:val="16"/>
      <w:szCs w:val="16"/>
    </w:rPr>
  </w:style>
  <w:style w:type="character" w:customStyle="1" w:styleId="BalloonTextChar">
    <w:name w:val="Balloon Text Char"/>
    <w:basedOn w:val="DefaultParagraphFont"/>
    <w:link w:val="BalloonText"/>
    <w:uiPriority w:val="99"/>
    <w:semiHidden/>
    <w:rsid w:val="00CE09AE"/>
    <w:rPr>
      <w:rFonts w:ascii="Tahoma" w:eastAsia="Times New Roman" w:hAnsi="Tahoma" w:cs="Tahoma"/>
      <w:snapToGrid w:val="0"/>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353"/>
    <w:pPr>
      <w:widowControl w:val="0"/>
    </w:pPr>
    <w:rPr>
      <w:rFonts w:ascii="Times New Roman" w:eastAsia="Times New Roman" w:hAnsi="Times New Roman" w:cs="Times New Roman"/>
      <w:snapToGrid w:val="0"/>
      <w:sz w:val="24"/>
      <w:szCs w:val="20"/>
    </w:rPr>
  </w:style>
  <w:style w:type="paragraph" w:styleId="Heading2">
    <w:name w:val="heading 2"/>
    <w:basedOn w:val="Normal"/>
    <w:next w:val="Normal"/>
    <w:link w:val="Heading2Char"/>
    <w:qFormat/>
    <w:rsid w:val="009F2353"/>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F2353"/>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9F2353"/>
    <w:pPr>
      <w:widowControl/>
      <w:tabs>
        <w:tab w:val="center" w:pos="4320"/>
        <w:tab w:val="right" w:pos="8640"/>
      </w:tabs>
    </w:pPr>
    <w:rPr>
      <w:snapToGrid/>
    </w:rPr>
  </w:style>
  <w:style w:type="character" w:customStyle="1" w:styleId="FooterChar">
    <w:name w:val="Footer Char"/>
    <w:basedOn w:val="DefaultParagraphFont"/>
    <w:link w:val="Footer"/>
    <w:uiPriority w:val="99"/>
    <w:rsid w:val="009F2353"/>
    <w:rPr>
      <w:rFonts w:ascii="Times New Roman" w:eastAsia="Times New Roman" w:hAnsi="Times New Roman" w:cs="Times New Roman"/>
      <w:sz w:val="24"/>
      <w:szCs w:val="20"/>
    </w:rPr>
  </w:style>
  <w:style w:type="paragraph" w:styleId="BodyText">
    <w:name w:val="Body Text"/>
    <w:basedOn w:val="Normal"/>
    <w:link w:val="BodyTextChar"/>
    <w:rsid w:val="009F2353"/>
    <w:pPr>
      <w:jc w:val="both"/>
    </w:pPr>
  </w:style>
  <w:style w:type="character" w:customStyle="1" w:styleId="BodyTextChar">
    <w:name w:val="Body Text Char"/>
    <w:basedOn w:val="DefaultParagraphFont"/>
    <w:link w:val="BodyText"/>
    <w:rsid w:val="009F2353"/>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8F3EEC"/>
    <w:pPr>
      <w:tabs>
        <w:tab w:val="center" w:pos="4680"/>
        <w:tab w:val="right" w:pos="9360"/>
      </w:tabs>
    </w:pPr>
  </w:style>
  <w:style w:type="character" w:customStyle="1" w:styleId="HeaderChar">
    <w:name w:val="Header Char"/>
    <w:basedOn w:val="DefaultParagraphFont"/>
    <w:link w:val="Header"/>
    <w:uiPriority w:val="99"/>
    <w:rsid w:val="008F3EEC"/>
    <w:rPr>
      <w:rFonts w:ascii="Times New Roman" w:eastAsia="Times New Roman" w:hAnsi="Times New Roman" w:cs="Times New Roman"/>
      <w:snapToGrid w:val="0"/>
      <w:sz w:val="24"/>
      <w:szCs w:val="20"/>
    </w:rPr>
  </w:style>
  <w:style w:type="character" w:styleId="Hyperlink">
    <w:name w:val="Hyperlink"/>
    <w:basedOn w:val="DefaultParagraphFont"/>
    <w:uiPriority w:val="99"/>
    <w:unhideWhenUsed/>
    <w:rsid w:val="007D64B1"/>
    <w:rPr>
      <w:color w:val="0000FF" w:themeColor="hyperlink"/>
      <w:u w:val="single"/>
    </w:rPr>
  </w:style>
  <w:style w:type="paragraph" w:styleId="BalloonText">
    <w:name w:val="Balloon Text"/>
    <w:basedOn w:val="Normal"/>
    <w:link w:val="BalloonTextChar"/>
    <w:uiPriority w:val="99"/>
    <w:semiHidden/>
    <w:unhideWhenUsed/>
    <w:rsid w:val="00CE09AE"/>
    <w:rPr>
      <w:rFonts w:ascii="Tahoma" w:hAnsi="Tahoma" w:cs="Tahoma"/>
      <w:sz w:val="16"/>
      <w:szCs w:val="16"/>
    </w:rPr>
  </w:style>
  <w:style w:type="character" w:customStyle="1" w:styleId="BalloonTextChar">
    <w:name w:val="Balloon Text Char"/>
    <w:basedOn w:val="DefaultParagraphFont"/>
    <w:link w:val="BalloonText"/>
    <w:uiPriority w:val="99"/>
    <w:semiHidden/>
    <w:rsid w:val="00CE09AE"/>
    <w:rPr>
      <w:rFonts w:ascii="Tahoma" w:eastAsia="Times New Roman"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74462">
      <w:bodyDiv w:val="1"/>
      <w:marLeft w:val="0"/>
      <w:marRight w:val="0"/>
      <w:marTop w:val="0"/>
      <w:marBottom w:val="0"/>
      <w:divBdr>
        <w:top w:val="none" w:sz="0" w:space="0" w:color="auto"/>
        <w:left w:val="none" w:sz="0" w:space="0" w:color="auto"/>
        <w:bottom w:val="none" w:sz="0" w:space="0" w:color="auto"/>
        <w:right w:val="none" w:sz="0" w:space="0" w:color="auto"/>
      </w:divBdr>
    </w:div>
    <w:div w:id="1070350761">
      <w:bodyDiv w:val="1"/>
      <w:marLeft w:val="0"/>
      <w:marRight w:val="0"/>
      <w:marTop w:val="0"/>
      <w:marBottom w:val="0"/>
      <w:divBdr>
        <w:top w:val="none" w:sz="0" w:space="0" w:color="auto"/>
        <w:left w:val="none" w:sz="0" w:space="0" w:color="auto"/>
        <w:bottom w:val="none" w:sz="0" w:space="0" w:color="auto"/>
        <w:right w:val="none" w:sz="0" w:space="0" w:color="auto"/>
      </w:divBdr>
    </w:div>
    <w:div w:id="199972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4893</Words>
  <Characters>25057</Characters>
  <Application>Microsoft Macintosh Word</Application>
  <DocSecurity>0</DocSecurity>
  <Lines>397</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2012-03-20T13:19:00Z</cp:lastPrinted>
  <dcterms:created xsi:type="dcterms:W3CDTF">2012-04-11T01:54:00Z</dcterms:created>
  <dcterms:modified xsi:type="dcterms:W3CDTF">2012-06-01T21:03:00Z</dcterms:modified>
  <cp:category/>
</cp:coreProperties>
</file>